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30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bookmarkStart w:id="0" w:name="__DdeLink__14503_4202045540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przy </w:t>
        <w:br/>
        <w:t xml:space="preserve">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Żmudzkiej 9/7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 oraz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Józefa Sułkowskiego 40/2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 w Bydgoszczy</w:t>
      </w:r>
      <w:bookmarkEnd w:id="0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Żmudzkiej 9/7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eastAsia="NSimSun" w:cs="Tahoma" w:ascii="Calibri" w:hAnsi="Calibri"/>
                <w:b/>
                <w:bCs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Józefa Sułkowskiego 40/2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wskazać, którego zadania będzie dotyczyć podwykonawstwo oraz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zobowiązanie, o którym mowa w Rozdziale XI ust.3 SWZ, 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>30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238" w:after="283"/>
        <w:ind w:left="0" w:right="0" w:hanging="0"/>
        <w:jc w:val="center"/>
        <w:rPr/>
      </w:pPr>
      <w:bookmarkStart w:id="1" w:name="__DdeLink__20710_4261545750"/>
      <w:bookmarkStart w:id="2" w:name="__DdeLink__28114_2869395872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przy 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Żmudzkiej 9/7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 oraz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Józefa Sułkowskiego 40/2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 w Bydgoszczy</w:t>
      </w:r>
      <w:bookmarkEnd w:id="1"/>
      <w:bookmarkEnd w:id="2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3" w:name="__DdeLink__9363_14760138101"/>
      <w:bookmarkStart w:id="4" w:name="__DdeLink__9363_14760138101"/>
      <w:bookmarkEnd w:id="4"/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sz w:val="18"/>
          <w:szCs w:val="18"/>
        </w:rPr>
      </w:pPr>
      <w:r>
        <w:rPr>
          <w:rFonts w:cs="Calibri" w:ascii="Calibri" w:hAnsi="Calibri"/>
          <w:b/>
          <w:bCs/>
          <w:color w:val="auto"/>
          <w:sz w:val="18"/>
          <w:szCs w:val="18"/>
          <w:u w:val="none"/>
        </w:rPr>
        <w:t>3. Oświadczenie</w:t>
      </w:r>
      <w:r>
        <w:rPr>
          <w:rFonts w:eastAsia="Times New Roman" w:cs="Calibri" w:ascii="Calibri" w:hAnsi="Calibri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LibreOffice/6.3.6.2$Windows_X86_64 LibreOffice_project/2196df99b074d8a661f4036fca8fa0cbfa33a497</Application>
  <Pages>4</Pages>
  <Words>1126</Words>
  <Characters>14550</Characters>
  <CharactersWithSpaces>15906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2021-06-14T12:40:55Z</dcterms:modified>
  <cp:revision>36</cp:revision>
  <dc:subject/>
  <dc:title/>
</cp:coreProperties>
</file>