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5A7234ED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359BC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77777777" w:rsidR="00E44873" w:rsidRPr="0095206B" w:rsidRDefault="00E44873" w:rsidP="00296E4B">
      <w:pPr>
        <w:pStyle w:val="Nagwek3"/>
        <w:spacing w:before="0" w:after="12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77777777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31DC4F2B" w14:textId="31A41AAD" w:rsidR="005827E8" w:rsidRDefault="000320DB" w:rsidP="005827E8">
      <w:pPr>
        <w:spacing w:line="276" w:lineRule="auto"/>
        <w:jc w:val="both"/>
        <w:rPr>
          <w:rFonts w:ascii="Calibri" w:hAnsi="Calibri" w:cs="Calibri"/>
          <w:color w:val="000000"/>
        </w:rPr>
      </w:pPr>
      <w:bookmarkStart w:id="2" w:name="_Hlk71883094"/>
      <w:r w:rsidRPr="000320DB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pn.: „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Zakup energii elektrycznej dla Gminnego Zakładu Gospodarki Komunalnej Spółka z o.o. w Chojnicach w okresie od </w:t>
      </w:r>
      <w:r w:rsidRPr="005827E8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01.01.2023 r. do 31.12.2023 r.</w:t>
      </w:r>
      <w:r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”, prowadzonego w trybie </w:t>
      </w:r>
      <w:r w:rsidR="005827E8" w:rsidRPr="005827E8">
        <w:rPr>
          <w:rFonts w:ascii="Calibri" w:hAnsi="Calibri" w:cs="Calibri"/>
          <w:bCs/>
          <w:sz w:val="24"/>
          <w:szCs w:val="24"/>
        </w:rPr>
        <w:t>sektorowego przetargu nieograniczonego o wartości nie przekraczającej kwoty 1.919.502,00 zł, na podstawie art. 2 ust.1 pkt 2, art. 3, art. 5 ust. 1 pkt 1), ust.4 pkt. 1), a), b), c) ustawy z dnia 11 września 2019r. Prawo zamówień publicznych (t.j. Dz. U. z 24 października 2019r.)</w:t>
      </w:r>
      <w:r w:rsidR="005827E8">
        <w:rPr>
          <w:rFonts w:ascii="Calibri" w:hAnsi="Calibri" w:cs="Calibri"/>
          <w:bCs/>
          <w:sz w:val="24"/>
          <w:szCs w:val="24"/>
        </w:rPr>
        <w:t xml:space="preserve"> na zasadach określonych w </w:t>
      </w:r>
      <w:r w:rsidR="005827E8" w:rsidRPr="005827E8">
        <w:rPr>
          <w:rFonts w:ascii="Calibri" w:hAnsi="Calibri" w:cs="Calibri"/>
          <w:bCs/>
          <w:sz w:val="24"/>
          <w:szCs w:val="24"/>
        </w:rPr>
        <w:t xml:space="preserve">specyfikacji przetargowej (zwanej dalej SP) oraz Regulaminie udzielania zamówień sektorowych  w spółce Gminny Zakład Gospodarki Komunalnej Sp. z o.o. </w:t>
      </w:r>
    </w:p>
    <w:p w14:paraId="6E6FB1CE" w14:textId="6BD5E6EE" w:rsidR="00E44873" w:rsidRPr="0095206B" w:rsidRDefault="00E44873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bookmarkEnd w:id="2"/>
    <w:p w14:paraId="4E051170" w14:textId="1C20913B" w:rsidR="00142AF3" w:rsidRDefault="00142AF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8704EC4" w14:textId="778A6FDE" w:rsidR="005827E8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4F2A078" w14:textId="77777777" w:rsidR="005827E8" w:rsidRPr="0095206B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1</w:t>
      </w:r>
    </w:p>
    <w:p w14:paraId="0B38AB8B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77777777" w:rsidR="00E44873" w:rsidRPr="0095206B" w:rsidRDefault="00D462D3" w:rsidP="00CB6998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zgodnie oświadczają, że p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odstawą do ustalenia warunków 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Umowy są:</w:t>
      </w:r>
    </w:p>
    <w:p w14:paraId="2C7AA0DF" w14:textId="77777777" w:rsidR="00E44873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10 kwietnia 1997 r.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95206B">
        <w:rPr>
          <w:rFonts w:asciiTheme="minorHAnsi" w:hAnsiTheme="minorHAnsi" w:cstheme="minorHAnsi"/>
          <w:sz w:val="24"/>
          <w:szCs w:val="24"/>
        </w:rPr>
        <w:t>Dz.</w:t>
      </w:r>
      <w:r w:rsidR="002D02A9" w:rsidRPr="0095206B">
        <w:rPr>
          <w:rFonts w:asciiTheme="minorHAnsi" w:hAnsiTheme="minorHAnsi" w:cstheme="minorHAnsi"/>
          <w:sz w:val="24"/>
          <w:szCs w:val="24"/>
        </w:rPr>
        <w:t xml:space="preserve"> </w:t>
      </w:r>
      <w:r w:rsidR="00801245" w:rsidRPr="0095206B">
        <w:rPr>
          <w:rFonts w:asciiTheme="minorHAnsi" w:hAnsiTheme="minorHAnsi" w:cstheme="minorHAnsi"/>
          <w:sz w:val="24"/>
          <w:szCs w:val="24"/>
        </w:rPr>
        <w:t>U. z 202</w:t>
      </w:r>
      <w:r w:rsidR="002D02A9" w:rsidRPr="0095206B">
        <w:rPr>
          <w:rFonts w:asciiTheme="minorHAnsi" w:hAnsiTheme="minorHAnsi" w:cstheme="minorHAnsi"/>
          <w:sz w:val="24"/>
          <w:szCs w:val="24"/>
        </w:rPr>
        <w:t>1</w:t>
      </w:r>
      <w:r w:rsidR="00801245" w:rsidRPr="0095206B">
        <w:rPr>
          <w:rFonts w:asciiTheme="minorHAnsi" w:hAnsiTheme="minorHAnsi" w:cstheme="minorHAnsi"/>
          <w:sz w:val="24"/>
          <w:szCs w:val="24"/>
        </w:rPr>
        <w:t xml:space="preserve"> r. poz. </w:t>
      </w:r>
      <w:r w:rsidR="002D02A9" w:rsidRPr="0095206B">
        <w:rPr>
          <w:rFonts w:asciiTheme="minorHAnsi" w:hAnsiTheme="minorHAnsi" w:cstheme="minorHAnsi"/>
          <w:sz w:val="24"/>
          <w:szCs w:val="24"/>
        </w:rPr>
        <w:t>716 t.j.</w:t>
      </w:r>
      <w:r w:rsidR="00801245" w:rsidRPr="0095206B">
        <w:rPr>
          <w:rFonts w:asciiTheme="minorHAnsi" w:hAnsiTheme="minorHAnsi" w:cstheme="minorHAnsi"/>
          <w:sz w:val="24"/>
          <w:szCs w:val="24"/>
        </w:rPr>
        <w:t xml:space="preserve"> 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zwana dalej ustawą Prawo energetyczne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obowiązującymi rozporządzeniami do niniejszej ustawy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77777777" w:rsidR="00296E4B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23 kwietnia 1964 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>r. Kodeks cywilny (Dz. U. z 2020 r. poz. 1740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, zwana dalej: Kodeksem cywilnym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79B70A34" w14:textId="71C5E4E8" w:rsidR="005827E8" w:rsidRPr="005827E8" w:rsidRDefault="005827E8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27E8">
        <w:rPr>
          <w:rFonts w:asciiTheme="minorHAnsi" w:hAnsiTheme="minorHAnsi" w:cstheme="minorHAnsi"/>
          <w:sz w:val="24"/>
          <w:szCs w:val="24"/>
          <w:lang w:val="pl-PL"/>
        </w:rPr>
        <w:t>Regulamin udzielania zamówień sektorowych w Spółce Gminny Zakład Gospodarki Komunalnej Sp.  z o.o.</w:t>
      </w:r>
    </w:p>
    <w:p w14:paraId="613714AC" w14:textId="63933E47" w:rsidR="00E44873" w:rsidRPr="0095206B" w:rsidRDefault="00EE1A1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Koncesja 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esa Urzędu Regulacji Energetyki;</w:t>
      </w:r>
    </w:p>
    <w:p w14:paraId="21790C92" w14:textId="123AEFA6" w:rsidR="00E44873" w:rsidRPr="005E2ED9" w:rsidRDefault="00140B2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Aktualna (ważna w okresie obowiązywania umowy sprzedaży) Generalna Umowa Dystrybucyjna zawarta pomiędzy Wykonawcą a OSD dla PPE określonych  w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Załączniku nr 1 do Umowy;</w:t>
      </w:r>
    </w:p>
    <w:p w14:paraId="59CF7665" w14:textId="3E582C83" w:rsidR="000320DB" w:rsidRP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20DB">
        <w:rPr>
          <w:rFonts w:asciiTheme="minorHAnsi" w:hAnsiTheme="minorHAnsi" w:cstheme="minorHAnsi"/>
          <w:sz w:val="24"/>
          <w:szCs w:val="24"/>
        </w:rPr>
        <w:t>IRiESD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27DC76B" w14:textId="7DD83C6A" w:rsid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20DB">
        <w:rPr>
          <w:rFonts w:asciiTheme="minorHAnsi" w:hAnsiTheme="minorHAnsi" w:cstheme="minorHAnsi"/>
          <w:sz w:val="24"/>
          <w:szCs w:val="24"/>
          <w:lang w:val="pl-PL"/>
        </w:rPr>
        <w:t>IRiESP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AADC35B" w14:textId="7A085B3D" w:rsidR="005E2ED9" w:rsidRDefault="005E2ED9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Aktualne (ważne w okresie obowiązywania umowy sprzedaży) umowy  o Świadczenie Usług Dystrybucyjnych zawarte pomiędzy Zamawiającym a OSD dla PPE określonych 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40C2A" w14:textId="77777777" w:rsidR="00E44873" w:rsidRPr="0095206B" w:rsidRDefault="00597605" w:rsidP="00CB6998">
      <w:pPr>
        <w:pStyle w:val="Akapitzlist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6B379E8" w14:textId="77777777" w:rsidR="00FD3D6F" w:rsidRPr="0095206B" w:rsidRDefault="00FD3D6F" w:rsidP="00CB6998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1E587A2C" w14:textId="77777777" w:rsidR="00363C95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-</w:t>
      </w:r>
      <w:r w:rsidR="00363C95" w:rsidRPr="0095206B">
        <w:rPr>
          <w:rFonts w:asciiTheme="minorHAnsi" w:hAnsiTheme="minorHAnsi" w:cstheme="minorHAnsi"/>
          <w:sz w:val="24"/>
          <w:szCs w:val="24"/>
        </w:rPr>
        <w:t xml:space="preserve"> niniejsza umowa;</w:t>
      </w:r>
    </w:p>
    <w:p w14:paraId="4353A900" w14:textId="77777777" w:rsidR="00363C95" w:rsidRPr="0095206B" w:rsidRDefault="00363C95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Umowa o świa</w:t>
      </w:r>
      <w:r w:rsidR="003D6D31">
        <w:rPr>
          <w:rFonts w:asciiTheme="minorHAnsi" w:hAnsiTheme="minorHAnsi" w:cstheme="minorHAnsi"/>
          <w:sz w:val="24"/>
          <w:szCs w:val="24"/>
        </w:rPr>
        <w:t xml:space="preserve">dczenie usług dystrybucyjnych - </w:t>
      </w:r>
      <w:r w:rsidRPr="0095206B">
        <w:rPr>
          <w:rFonts w:asciiTheme="minorHAnsi" w:hAnsiTheme="minorHAnsi" w:cstheme="minorHAnsi"/>
          <w:sz w:val="24"/>
          <w:szCs w:val="24"/>
        </w:rPr>
        <w:t>umowa zawarta pomiędzy Zamawiającym lub Odbiorcą a OSD określająca prawa i obowiązki związane ze świadczeniem przez OSD usługi dystrybucji energii elektrycznej;</w:t>
      </w:r>
    </w:p>
    <w:p w14:paraId="7B87359F" w14:textId="43A44E5C" w:rsidR="000D39BE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Energia elektryczna -</w:t>
      </w:r>
      <w:r w:rsidR="000D39BE" w:rsidRPr="0095206B">
        <w:rPr>
          <w:rFonts w:asciiTheme="minorHAnsi" w:hAnsiTheme="minorHAnsi" w:cstheme="minorHAnsi"/>
          <w:sz w:val="24"/>
          <w:szCs w:val="24"/>
        </w:rPr>
        <w:t xml:space="preserve"> energia elektryczna czynna, będąca przedmiotem sprzedaży z mocy niniejszej </w:t>
      </w:r>
      <w:r w:rsidR="007132FA" w:rsidRPr="0095206B">
        <w:rPr>
          <w:rFonts w:asciiTheme="minorHAnsi" w:hAnsiTheme="minorHAnsi" w:cstheme="minorHAnsi"/>
          <w:sz w:val="24"/>
          <w:szCs w:val="24"/>
        </w:rPr>
        <w:t>U</w:t>
      </w:r>
      <w:r w:rsidR="000D39BE" w:rsidRPr="0095206B">
        <w:rPr>
          <w:rFonts w:asciiTheme="minorHAnsi" w:hAnsiTheme="minorHAnsi" w:cstheme="minorHAnsi"/>
          <w:sz w:val="24"/>
          <w:szCs w:val="24"/>
        </w:rPr>
        <w:t>mowy i na określonych w niej warunkach</w:t>
      </w:r>
      <w:r w:rsidR="000320DB" w:rsidRPr="000320DB">
        <w:rPr>
          <w:rFonts w:asciiTheme="minorHAnsi" w:hAnsiTheme="minorHAnsi" w:cstheme="minorHAnsi"/>
          <w:sz w:val="24"/>
          <w:szCs w:val="24"/>
        </w:rPr>
        <w:t>, wyrażona w MWh lub kWh</w:t>
      </w:r>
      <w:r w:rsidR="000D39BE" w:rsidRPr="000320DB">
        <w:rPr>
          <w:rFonts w:asciiTheme="minorHAnsi" w:hAnsiTheme="minorHAnsi" w:cstheme="minorHAnsi"/>
          <w:sz w:val="24"/>
          <w:szCs w:val="24"/>
        </w:rPr>
        <w:t>;</w:t>
      </w:r>
    </w:p>
    <w:p w14:paraId="0D20FFB0" w14:textId="77777777" w:rsidR="000D39BE" w:rsidRPr="0095206B" w:rsidRDefault="000D39BE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 xml:space="preserve">Punkt Poboru Energii (PPE)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 Umowy,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45FDBE35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Dni robocze - dni od poniedziałku do piątku, z pominięciem dni ustawowo wolnych od pracy;</w:t>
      </w:r>
    </w:p>
    <w:p w14:paraId="3276C4BB" w14:textId="77777777" w:rsidR="0031571B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Odbiorca -</w:t>
      </w:r>
      <w:r w:rsidR="0031571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odbiorca energii elektrycznej w rozumieniu ustawy Prawo energetyczne;</w:t>
      </w:r>
    </w:p>
    <w:p w14:paraId="7F7924DD" w14:textId="600F3992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11660CBC" w14:textId="5090EAE8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Operator Systemu Dystrybucyjnego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(OSD)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zajmujące się świadczeniem usług dystrybucyjnych energii elektrycznej na obszarze, do sieci którego przyłączone są PPE Zamawiającego, tj. </w:t>
      </w:r>
      <w:r w:rsidR="000320DB" w:rsidRPr="000320DB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ENEA Operator Sp. z o.o.;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30330C3" w14:textId="77777777" w:rsidR="00056078" w:rsidRDefault="00056078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Operator Systemu Przesyłowego (OSP) - przedsiębiorstwo energetyczne posiadające koncesję na przesyłanie energii elektrycznej, tj. spółka Polskie Sieci Elektroenergetyczne S.A.</w:t>
      </w:r>
      <w:r w:rsidR="003D6D31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Podmiot Odpowiedzialny za Bilansowanie handlowe (POB)</w:t>
      </w:r>
      <w:r w:rsidRPr="003D6D3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D6D31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>
        <w:rPr>
          <w:rFonts w:asciiTheme="minorHAnsi" w:hAnsiTheme="minorHAnsi" w:cstheme="minorHAnsi"/>
          <w:sz w:val="24"/>
          <w:szCs w:val="24"/>
        </w:rPr>
        <w:t xml:space="preserve"> tj. </w:t>
      </w:r>
      <w:r w:rsidRPr="003D6D31">
        <w:rPr>
          <w:rFonts w:asciiTheme="minorHAnsi" w:hAnsiTheme="minorHAnsi" w:cstheme="minorHAnsi"/>
          <w:sz w:val="24"/>
          <w:szCs w:val="24"/>
        </w:rPr>
        <w:t>Wykonawca;</w:t>
      </w:r>
    </w:p>
    <w:p w14:paraId="4ACADB68" w14:textId="77777777" w:rsidR="00FD3D6F" w:rsidRPr="000320D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(IRiESD) OSD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określająca procedury i sposób wykonywania czynności związanych z ruchem sieciowym, eksploatacją sieci i działalnością dystrybucyjną;</w:t>
      </w:r>
    </w:p>
    <w:p w14:paraId="38BEE9D6" w14:textId="7C229F05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Instrukcja Ruchu i Eksploatacji Sieci Przesyłowej (IRiESP) – instrukcja opracowana przez OSP na podstawie przepisów ustawy z dnia 10 kwietnia 1997 r. Prawo energetyczne (t.j. Dz. U. z 2021 r. poz. 716 z późn. zm.), zatwierdzona przez Prezesa URE, określająca warunki korzystania, prowadzenia ruchu, eksploatacji i planowania rozwoju sieci przesyłowej oraz zasady bilansowania systemu i zarządzania ograniczeniami systemowymi;</w:t>
      </w:r>
    </w:p>
    <w:p w14:paraId="635008CF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Generalna Umowa Dystrybucyjna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(GUD)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– umowa zawarta pomiędzy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Wykonawcą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energii elektrycznej do PPE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06ED9D9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7A81BD9" w14:textId="77777777" w:rsidR="007132FA" w:rsidRPr="0095206B" w:rsidRDefault="007132FA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57410848" w14:textId="77777777" w:rsidR="002D3385" w:rsidRPr="0095206B" w:rsidRDefault="002D3385" w:rsidP="00CB699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Pozostałe pojęcia, niezdefiniowane w ust. 2 powyżej, posiadają znaczenie nadane im w taryfie OSD lub Taryfie Sprzedawcy, ustawie - Prawo energetyczne oraz aktach wykonawczych do wyżej wymienionej ustawy, jak również w IRiESD.</w:t>
      </w:r>
    </w:p>
    <w:p w14:paraId="74E791B0" w14:textId="77777777" w:rsidR="00142AF3" w:rsidRPr="0095206B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CCFD7A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D252AEE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Przedmiot umowy</w:t>
      </w:r>
    </w:p>
    <w:p w14:paraId="13B2C403" w14:textId="1C5AD2E0" w:rsidR="005827E8" w:rsidRPr="005827E8" w:rsidRDefault="00E44873" w:rsidP="005827E8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Przedmiotem Umowy jest określenie praw i obowiązków Stron związanych ze sprzedażą energii elektrycznej na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potrzeby Zamawiającego, na warunkach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określonych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oparciu o postanowienia 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lastRenderedPageBreak/>
        <w:t>Regulamin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 udzielania zamówień sektorowych w Spółce Gminny Zakład Gospodarki Komunalnej Sp.  z o.o.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 xml:space="preserve"> oraz Specyfikacji przetargowej.</w:t>
      </w:r>
    </w:p>
    <w:p w14:paraId="7660D693" w14:textId="573B6E7D" w:rsidR="00456516" w:rsidRPr="0095206B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przy pomocy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8A5604" w:rsidRPr="0095206B">
        <w:rPr>
          <w:rFonts w:asciiTheme="minorHAnsi" w:hAnsiTheme="minorHAnsi" w:cstheme="minorHAnsi"/>
          <w:sz w:val="24"/>
          <w:szCs w:val="24"/>
          <w:lang w:val="pl-PL"/>
        </w:rPr>
        <w:t>OSD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na podstawie Pełnomocnictwa stanowiącego Załącznik nr 2 do Umowy.</w:t>
      </w:r>
    </w:p>
    <w:p w14:paraId="7C14BB43" w14:textId="530E230A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 energii elektrycznej odbywać się będzie za pośrednictwem sieci dystrybucyjnej należącej do Operatora Systemu Dystrybucyjnego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(zwanego dalej OSD)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0320DB" w:rsidRPr="000320DB">
        <w:rPr>
          <w:rFonts w:asciiTheme="minorHAnsi" w:hAnsiTheme="minorHAnsi" w:cstheme="minorHAnsi"/>
          <w:sz w:val="24"/>
          <w:szCs w:val="24"/>
        </w:rPr>
        <w:t>ENEA Operator Sp. z o.o.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4260EEE7" w14:textId="7777777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95206B">
        <w:rPr>
          <w:rFonts w:asciiTheme="minorHAnsi" w:hAnsiTheme="minorHAnsi" w:cstheme="minorHAnsi"/>
          <w:sz w:val="24"/>
          <w:szCs w:val="24"/>
          <w:lang w:val="pl-PL"/>
        </w:rPr>
        <w:t>tów zawiera Załącznik nr 1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1BB9ED9C" w14:textId="2E484FAE" w:rsidR="00F2185D" w:rsidRPr="0095206B" w:rsidRDefault="00F2185D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reguluje wyłącznie warunki sprzedaży energii elektrycznej i nie zastępuje umowy o świadczenie usług dystrybucji.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3089A06A" w14:textId="77777777" w:rsidR="00E44873" w:rsidRPr="0095206B" w:rsidRDefault="00E44873" w:rsidP="00296E4B">
      <w:pPr>
        <w:pStyle w:val="Akapitzlist"/>
        <w:spacing w:after="120" w:line="276" w:lineRule="auto"/>
        <w:ind w:left="1440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95206B" w:rsidRDefault="00E44873" w:rsidP="00CB6998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19C95FE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Umowy,</w:t>
      </w:r>
    </w:p>
    <w:p w14:paraId="5D703279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poszczególnych punktach poboru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4D2FD6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bilansowania handlowego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Zamawiającego w 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0310374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zgłoszenia Umowy sprzedaży energii elektrycznej do OSD w imieniu Zamawiającego,</w:t>
      </w:r>
    </w:p>
    <w:p w14:paraId="435E4365" w14:textId="446C323F" w:rsidR="003227C0" w:rsidRPr="0095206B" w:rsidRDefault="003B46EB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złożenia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umów kompleksowych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(o ile wystąpi taka konieczność)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na podst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stanowiącego Załącznik nr 2 do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mowy,</w:t>
      </w:r>
    </w:p>
    <w:p w14:paraId="124C53C2" w14:textId="760BF969" w:rsidR="003227C0" w:rsidRPr="0095206B" w:rsidRDefault="003227C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nie z załączonym do niniejszej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pełn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nictwem (Załącznik nr 2 do U</w:t>
      </w:r>
      <w:r w:rsidR="000E3B33">
        <w:rPr>
          <w:rFonts w:asciiTheme="minorHAnsi" w:hAnsiTheme="minorHAnsi" w:cstheme="minorHAnsi"/>
          <w:sz w:val="24"/>
          <w:szCs w:val="24"/>
          <w:lang w:val="pl-PL"/>
        </w:rPr>
        <w:t>mowy)</w:t>
      </w:r>
      <w:r w:rsidR="00761EA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535F9B1" w14:textId="77777777" w:rsidR="00303BF3" w:rsidRPr="0095206B" w:rsidRDefault="00303BF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reprezentowania Zamawiającego prze</w:t>
      </w:r>
      <w:r w:rsidR="00A11B23" w:rsidRPr="0095206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OSD w procesie zmiany sprzedawcy,</w:t>
      </w:r>
    </w:p>
    <w:p w14:paraId="15EA0DDE" w14:textId="77777777" w:rsidR="00140B20" w:rsidRDefault="00140B2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zachowania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>ciągłości ważności dokumentów określonych w § 1 ust. 1 pkt 4) - 5)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7777777" w:rsidR="00140B20" w:rsidRPr="00140B20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§ 1 ust.1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pkt 4) - 5), Wykonawca zobligowany jest w terminie nie późniejszym niż na miesiąc przed datą upływu ważności tych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dokumentów, przedłożyć Zamawiającemu oświadczenie: o posiadaniu aktualnej koncesji na obrót energia elektryczną i/lub aktualnej Generalnej Umowy Dystrybucyjnej zawartej z OSD.</w:t>
      </w:r>
    </w:p>
    <w:p w14:paraId="02FFF2A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zacji umowy ze strony 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jest Pan/Pani ……………………………………………….</w:t>
      </w:r>
    </w:p>
    <w:p w14:paraId="300BF0FE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55290655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Wykonawcy za kontakt w sprawach realizacji zleceń zakupu energii elektrycznej składanych przez Zamawiającego jest Pan/Pani ……………………………………………….</w:t>
      </w:r>
    </w:p>
    <w:p w14:paraId="21E4D55B" w14:textId="77777777" w:rsidR="00E44873" w:rsidRPr="0095206B" w:rsidRDefault="00153AC9" w:rsidP="00CC7579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2D9BBCE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zuje si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0D7CC0A4" w14:textId="6CA5B26F" w:rsidR="000E3B33" w:rsidRDefault="000E3B3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zakupu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energii elektrycznej do PPE wskazanych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06AD12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pobierania energii 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zgodnie z obowiązującymi przepisami i warunkami Umowy,</w:t>
      </w:r>
    </w:p>
    <w:p w14:paraId="592A6035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zakupioną energię elektryczną,</w:t>
      </w:r>
    </w:p>
    <w:p w14:paraId="49B9B4D5" w14:textId="77777777" w:rsidR="00C7184E" w:rsidRPr="0095206B" w:rsidRDefault="00B80F5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745B3893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6A966080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elektryczną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6010D81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116FE323" w14:textId="77777777" w:rsidR="003D49A3" w:rsidRPr="0095206B" w:rsidRDefault="003D49A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eślone są w Załączni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(słownie: ………………………..)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Ilość energii elektrycznej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wskazanej w Załączniku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>jakichkolwiek roszczeń ze strony Wykonawcy.</w:t>
      </w:r>
    </w:p>
    <w:p w14:paraId="0C695DF4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</w:t>
      </w:r>
      <w:r w:rsidR="00633D62" w:rsidRPr="0095206B">
        <w:rPr>
          <w:rFonts w:asciiTheme="minorHAnsi" w:hAnsiTheme="minorHAnsi" w:cstheme="minorHAnsi"/>
          <w:sz w:val="24"/>
          <w:szCs w:val="24"/>
          <w:lang w:val="pl-PL"/>
        </w:rPr>
        <w:t>e strony Zamawiającego jest Pan/Pani</w:t>
      </w:r>
    </w:p>
    <w:p w14:paraId="414621D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3A8E45B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7F169324" w14:textId="77777777" w:rsidR="00E44873" w:rsidRPr="0095206B" w:rsidRDefault="00E44873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Zamawiającego w sprawach realizacji zleceń zakup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766B" w:rsidRPr="0095206B">
        <w:rPr>
          <w:rFonts w:asciiTheme="minorHAnsi" w:hAnsiTheme="minorHAnsi" w:cstheme="minorHAnsi"/>
          <w:sz w:val="24"/>
          <w:szCs w:val="24"/>
          <w:lang w:val="pl-PL"/>
        </w:rPr>
        <w:t>jest Pan/Pani</w:t>
      </w:r>
    </w:p>
    <w:p w14:paraId="2017B55B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48951F7A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Tel…………………………………., e-mail: ……………………………….</w:t>
      </w:r>
    </w:p>
    <w:p w14:paraId="1BE566BC" w14:textId="77777777" w:rsidR="00E44873" w:rsidRPr="0095206B" w:rsidRDefault="00E44873" w:rsidP="00296E4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77777777" w:rsidR="00E44873" w:rsidRPr="0095206B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ściowe.  Bilansowanie handlowe</w:t>
      </w:r>
    </w:p>
    <w:p w14:paraId="7B6D5CF0" w14:textId="77777777" w:rsidR="000E3B33" w:rsidRPr="000E3B33" w:rsidRDefault="000E3B3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zobowiązuje się do zapewnienia standardów jakościowych obsługi Zamawiającemu, m.in. poprzez:</w:t>
      </w:r>
    </w:p>
    <w:p w14:paraId="2D936617" w14:textId="227BEBF5" w:rsidR="000E3B33" w:rsidRP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0AC0406C" w14:textId="77777777" w:rsidR="000E3B33" w:rsidRPr="000E3B33" w:rsidRDefault="000E3B33" w:rsidP="00CB6998">
      <w:pPr>
        <w:pStyle w:val="Akapitzlist"/>
        <w:numPr>
          <w:ilvl w:val="0"/>
          <w:numId w:val="14"/>
        </w:numPr>
        <w:ind w:left="851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rozliczeń;</w:t>
      </w:r>
    </w:p>
    <w:p w14:paraId="2BBB3CCB" w14:textId="0C742E54" w:rsid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rozpatrywanie wniosków lub reklamacji Zamawiającego w sprawie rozliczeń i udzielania odpowiedzi nie później niż w terminie 14 dni od dnia złożenia wniosku lub zgłoszenia reklamacji, zgodnie zapisami w § 6 ust. 7 i 8.</w:t>
      </w:r>
    </w:p>
    <w:p w14:paraId="2ABDD1A9" w14:textId="57BCF21F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10EF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OSP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24914D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Wyłączenie odpowiedzialności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zobowiązany do niezwłocznego informowania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Zamawiającego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o wszelkich wystąpieniach przypadków siły wyższej mogących mieć wpływ na wykonanie Umowy.</w:t>
      </w:r>
    </w:p>
    <w:p w14:paraId="08B26663" w14:textId="77777777" w:rsidR="00F2185D" w:rsidRPr="0095206B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F0EA05C" w14:textId="77777777" w:rsidR="00E44873" w:rsidRPr="0095206B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 5</w:t>
      </w:r>
    </w:p>
    <w:p w14:paraId="2F2AAC56" w14:textId="77777777" w:rsidR="00E44873" w:rsidRPr="0095206B" w:rsidRDefault="00825B0D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Ceny energii elektrycznej</w:t>
      </w:r>
    </w:p>
    <w:p w14:paraId="13221A97" w14:textId="77777777" w:rsidR="00CC7579" w:rsidRPr="0095206B" w:rsidRDefault="00E44873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Tekst17"/>
      <w:r w:rsidRPr="0095206B">
        <w:rPr>
          <w:rFonts w:asciiTheme="minorHAnsi" w:hAnsiTheme="minorHAnsi" w:cstheme="minorHAnsi"/>
          <w:sz w:val="24"/>
          <w:szCs w:val="24"/>
          <w:lang w:val="pl-PL"/>
        </w:rPr>
        <w:t>Cena energii elektrycznej za MWh w okresie od 01.0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C1048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r.  do 31.12.20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wyliczana będzie 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>na podstawie poniższego algorytmu wyznaczani</w:t>
      </w:r>
      <w:r w:rsidR="00B54EE1" w:rsidRPr="0095206B">
        <w:rPr>
          <w:rFonts w:asciiTheme="minorHAnsi" w:hAnsiTheme="minorHAnsi" w:cstheme="minorHAnsi"/>
          <w:sz w:val="24"/>
          <w:szCs w:val="24"/>
          <w:lang w:val="pl-PL"/>
        </w:rPr>
        <w:t>a ceny jednostkowej, zawierającego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odniesienie do kontraktów terminowych oraz notowań Rynku Dnia Następnego na Towarowej Giełdzie Energii S.A. w Warszawie:</w:t>
      </w:r>
    </w:p>
    <w:p w14:paraId="1E62C0F0" w14:textId="77777777" w:rsidR="00D3224A" w:rsidRPr="0095206B" w:rsidRDefault="00E44873" w:rsidP="00B6213D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C_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= M + </w:t>
      </w:r>
      <w:r w:rsidR="00363C95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K_23 + A + 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4D9085DD" w14:textId="77777777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gdzie: </w:t>
      </w:r>
    </w:p>
    <w:p w14:paraId="3C6C3E7C" w14:textId="77777777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BA4FFE" w:rsidRPr="009520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</w:t>
      </w:r>
      <w:r w:rsidR="00BA4FFE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energii elektrycznej </w:t>
      </w:r>
      <w:r w:rsidR="00E67A45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netto [zł/MWh], która zostanie przyjęta do rozliczeń pomiędzy Zamawiającym, a Wykonawcą dla danego okresu rozliczeniowego w roku</w:t>
      </w:r>
      <w:r w:rsidR="00BA4FFE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2023</w:t>
      </w:r>
      <w:r w:rsidR="00B3130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.</w:t>
      </w:r>
    </w:p>
    <w:p w14:paraId="1FA5F4AA" w14:textId="77777777" w:rsidR="00D3224A" w:rsidRPr="0095206B" w:rsidRDefault="00D3224A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CA7DA86" w14:textId="77777777" w:rsidR="00E44873" w:rsidRPr="0095206B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przy czym:</w:t>
      </w:r>
    </w:p>
    <w:p w14:paraId="0E772C70" w14:textId="77777777" w:rsidR="00E44873" w:rsidRPr="0095206B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uwzględnia marżę 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bilansowania handlowego, opłaty transakcyjne, koszt zmienności profilu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grafikowania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okresie obowiązywania umowy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zmienności grafiku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 Wysokość marży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ostała wskazana przez Wykonawcę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9D198F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wynosi :</w:t>
      </w:r>
    </w:p>
    <w:p w14:paraId="0CF06B6E" w14:textId="77777777" w:rsidR="00693C54" w:rsidRPr="0095206B" w:rsidRDefault="00693C54" w:rsidP="00363C9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 ……………….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 netto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</w:t>
      </w:r>
    </w:p>
    <w:p w14:paraId="7E560AE9" w14:textId="77777777" w:rsidR="0012371D" w:rsidRPr="0095206B" w:rsidRDefault="00E4487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7B6B6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Koszt zakupu p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raw majątkowych dla roku 20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</w:p>
    <w:p w14:paraId="45ED9670" w14:textId="77777777" w:rsidR="00E44873" w:rsidRPr="0095206B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Powyższe koszty uwzględniają ryzyko zmiany Prawa Energetycznego, w szczególności ewentualne zmiany udziału procentowego poszczególnych certyfikatów (praw majątkowych). Wysokości w/w kosztów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ostały wskazane przez Wykonawcę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9D198F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wynoszą odpowiednio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</w:p>
    <w:p w14:paraId="46B12206" w14:textId="77777777" w:rsidR="00363C95" w:rsidRPr="0095206B" w:rsidRDefault="007135F4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netto /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MWh </w:t>
      </w:r>
    </w:p>
    <w:p w14:paraId="14732A22" w14:textId="77777777" w:rsidR="00363C95" w:rsidRPr="0095206B" w:rsidRDefault="00363C95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podatek akcyzowy, zgodnie z obowiązującymi przepisami w danym roku sprzedaży</w:t>
      </w:r>
    </w:p>
    <w:p w14:paraId="212407AF" w14:textId="77777777" w:rsidR="00E44873" w:rsidRPr="0095206B" w:rsidRDefault="00363C95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5,00 zł/MWh</w:t>
      </w:r>
    </w:p>
    <w:p w14:paraId="7E479A4A" w14:textId="77777777" w:rsidR="00E44873" w:rsidRPr="0095206B" w:rsidRDefault="00E44873" w:rsidP="000E7B3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B31303" w:rsidRPr="0095206B">
        <w:rPr>
          <w:rFonts w:asciiTheme="minorHAnsi" w:hAnsiTheme="minorHAnsi" w:cstheme="minorHAnsi"/>
          <w:b/>
          <w:bCs/>
          <w:color w:val="00B050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średnioważona wolumenem cena sprzedaży netto energii elektrycznej dla zakupionego wolumenu energii elektrycznej [zł/MWh] na </w:t>
      </w:r>
      <w:r w:rsidR="0025481F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Rynku Terminowym Produktów Energetycznych (RTPE)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 ramach zleconych transz zakupu dla danego rodzaju kontraktu BASE oraz dla zakupionego wolumenu energii elektrycznej na Rynku Dnia Następnego (RDN) w oparciu o indeks TGe24 za dany miesiąc kalendarzowy. Cena</w:t>
      </w:r>
      <w:r w:rsidR="00B3130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1724B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I_BASE_23</w:t>
      </w:r>
      <w:r w:rsidR="001724BE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zostanie ustalona zgodnie z zasadami wskazanymi poniżej</w:t>
      </w:r>
      <w:r w:rsidR="00F7528C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5257B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</w:t>
      </w:r>
    </w:p>
    <w:p w14:paraId="1BF7014C" w14:textId="77777777" w:rsidR="002C22CA" w:rsidRPr="0095206B" w:rsidRDefault="00ED1B60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theme="minorHAnsi"/>
          <w:b/>
          <w:bCs/>
          <w:strike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trike/>
          <w:noProof/>
          <w:sz w:val="24"/>
          <w:szCs w:val="24"/>
          <w:lang w:val="pl-PL"/>
        </w:rPr>
        <w:drawing>
          <wp:inline distT="0" distB="0" distL="0" distR="0" wp14:anchorId="5FC98982" wp14:editId="51AD38A3">
            <wp:extent cx="4003319" cy="76002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38" cy="7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7030" w14:textId="77777777" w:rsidR="000931DC" w:rsidRPr="0095206B" w:rsidRDefault="000931DC" w:rsidP="00F752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g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dzie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1551C864" w14:textId="77777777" w:rsidR="00ED1B60" w:rsidRPr="0095206B" w:rsidRDefault="00ED1B60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średnioważona wolumenem cena sprzedaży netto energii elektrycznej dla zakupionego wolumenu energii elektrycznej [zł/MWh] na Rynku Terminowym Produktów Energetycznych (RTPE) w ramach zleconych transz zakupu dla danego rodzaju kontraktu BASE;</w:t>
      </w:r>
    </w:p>
    <w:p w14:paraId="7D816DFB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wolumen energii elektrycznej [MWh] zakupiony w ramach zleceń zakupu transz na Rynku Terminowym Produktów Energetycznych (RTPE) dla danego okresu rozliczeniowego w ramach kontraktu BASE;</w:t>
      </w:r>
    </w:p>
    <w:p w14:paraId="6965253A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cena sprzedaży netto energii elektrycznej dla zakupionego wolumenu energii elektrycznej [</w:t>
      </w:r>
      <w:r w:rsidR="000E7B3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/MWh] na Rynku Dnia Następnego (RDN), jako średnia arytmetyczna z notowań za dany miesiąc kalendarzowy dla indeksu TGe24;</w:t>
      </w:r>
    </w:p>
    <w:p w14:paraId="68520366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WRDN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wolumen energii elektrycznej [MWh], zakupiony na Rynku Dnia Następnego (RDN</w:t>
      </w:r>
      <w:r w:rsidR="00A05BB4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– indeks TGe24) za dany miesiąc rozliczeniowy. W przypadku zakupu 100% wolumenu dla danego miesiąca rozliczeniowego na Rynku Terminowym Produktów Energetycznych (RTPE) w ramach zleconych transz zakupu, ilość WRDN wynosi 0 MWh.</w:t>
      </w:r>
    </w:p>
    <w:p w14:paraId="2D595E63" w14:textId="77777777" w:rsidR="00B940BC" w:rsidRPr="0095206B" w:rsidRDefault="00B940BC" w:rsidP="00B940B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886B8E1" w14:textId="77777777" w:rsidR="0082238F" w:rsidRPr="0095206B" w:rsidRDefault="0082238F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Dostępne dla Z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amawiającego produkty BASE,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liczba 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ielkość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zakupu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4175"/>
      </w:tblGrid>
      <w:tr w:rsidR="0082238F" w:rsidRPr="0095206B" w14:paraId="05718DBF" w14:textId="77777777" w:rsidTr="003D6D31">
        <w:trPr>
          <w:trHeight w:val="70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6F836D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811D7D2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Nazwa produktu</w:t>
            </w:r>
            <w:r w:rsidR="00143C91"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na TGE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916A5B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Max. liczba transz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18AA0173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D064AD4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Min. % wielkość danej transzy</w:t>
            </w:r>
          </w:p>
        </w:tc>
      </w:tr>
      <w:tr w:rsidR="0082238F" w:rsidRPr="0095206B" w14:paraId="179EF868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70578CFC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C88D04" w14:textId="77777777" w:rsidR="0082238F" w:rsidRPr="0095206B" w:rsidRDefault="00F7528C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BASE_M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>produkt miesięczny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6BAD4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1CA31D4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4E6718E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100% dla danego miesiąca</w:t>
            </w:r>
          </w:p>
        </w:tc>
      </w:tr>
      <w:tr w:rsidR="0082238F" w:rsidRPr="0095206B" w14:paraId="2546F187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48AC5A83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7193E4A" w14:textId="77777777" w:rsidR="0082238F" w:rsidRPr="0095206B" w:rsidRDefault="00F7528C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BASE_Q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 xml:space="preserve">produkt kwartalny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6989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6187FA5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4E58C5E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50% lub 100% dla danego kwartału</w:t>
            </w:r>
          </w:p>
        </w:tc>
      </w:tr>
      <w:tr w:rsidR="0082238F" w:rsidRPr="0095206B" w14:paraId="4B879156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2DAC99CB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3.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194BABD" w14:textId="77777777" w:rsidR="0082238F" w:rsidRPr="0095206B" w:rsidRDefault="00F7528C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BASE_Y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>produkt roczny</w:t>
            </w: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CD520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A191F1E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0CB8A5A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25% lub 50% lub 75% lub 100% dla danego roku</w:t>
            </w:r>
          </w:p>
        </w:tc>
      </w:tr>
    </w:tbl>
    <w:p w14:paraId="2ADF66C9" w14:textId="77777777" w:rsidR="00E44873" w:rsidRPr="0095206B" w:rsidRDefault="00E44873" w:rsidP="0082238F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776FEFD" w14:textId="77777777" w:rsidR="00E44873" w:rsidRPr="0095206B" w:rsidRDefault="00ED4DBC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Ceny energii elektrycznej 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I_BASE_23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wyznaczone w oparciu o kontrakty terminowe BASE notowane na Towarowej Giełdzie Energii S.A. a Warszawie </w:t>
      </w:r>
      <w:r w:rsidR="00A64FC8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(TGE)</w:t>
      </w:r>
      <w:r w:rsidR="00A64FC8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zostaną naliczone zgodnie z następującymi zasadami:</w:t>
      </w:r>
    </w:p>
    <w:p w14:paraId="0B21252D" w14:textId="77777777" w:rsidR="00E44873" w:rsidRPr="0095206B" w:rsidRDefault="00ED4DB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składa do Wykonawcy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zlecenie zakupu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transzy 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dniu „x” </w:t>
      </w:r>
      <w:r w:rsidR="000D0D5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godziny 12:00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dla notowań 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>TGE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prowadzonych w dniu „x” 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tj. 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>bieżącym dniu</w:t>
      </w:r>
      <w:r w:rsidR="005E32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roboczym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>dla kontraktów odpowiadających danemu okresowi sprzedaży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Zlecenie wysyłane jest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adres e-mail: …….. W zleceniu podana jest wielkość procentowa transzy oraz rodzaj produktu.</w:t>
      </w:r>
      <w:r w:rsidR="00A64FC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Zakup </w:t>
      </w:r>
      <w:r w:rsidR="00AB56AD" w:rsidRPr="0095206B">
        <w:rPr>
          <w:rFonts w:asciiTheme="minorHAnsi" w:hAnsiTheme="minorHAnsi" w:cstheme="minorHAnsi"/>
          <w:sz w:val="24"/>
          <w:szCs w:val="24"/>
          <w:lang w:val="pl-PL"/>
        </w:rPr>
        <w:t>wskazanej ilości produktu nastąpi po cenie odpowiadającej Dziennemu Kursowi Rozliczeniowemu (DKR) z dnia zgłoszenia.</w:t>
      </w:r>
    </w:p>
    <w:p w14:paraId="119BED17" w14:textId="77777777" w:rsidR="000D0D5C" w:rsidRPr="0095206B" w:rsidRDefault="000D0D5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Strony ustalają, że jeżeli w danym dniu 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„x”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obrót na TGE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był równy 0 MWh dla produktu, który był przedmiotem zlecenia zakupu transzy, to zlecenie zostanie automatycznie anulowane.</w:t>
      </w:r>
    </w:p>
    <w:p w14:paraId="25E3589C" w14:textId="77777777" w:rsidR="006D1360" w:rsidRPr="0095206B" w:rsidRDefault="00E44873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Potwierdzenie realizacji zlec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enia odsyłane jest 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tego samego dnia do godziny 15:00 na adres e-mail: </w:t>
      </w:r>
      <w:r w:rsidR="007135F4" w:rsidRPr="0095206B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="00F1772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podaniem przez Wykonawcę 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>ceny zamów</w:t>
      </w:r>
      <w:r w:rsidR="00A64FC8" w:rsidRPr="0095206B">
        <w:rPr>
          <w:rFonts w:asciiTheme="minorHAnsi" w:hAnsiTheme="minorHAnsi" w:cstheme="minorHAnsi"/>
          <w:sz w:val="24"/>
          <w:szCs w:val="24"/>
          <w:lang w:val="pl-PL"/>
        </w:rPr>
        <w:t>ionej transzy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DCB1691" w14:textId="77777777" w:rsidR="00BC4445" w:rsidRPr="0095206B" w:rsidRDefault="00BC4445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kontraktów/transakcji, odsyłane jest Zamawiającemu tego samego dnia do godziny 15:00 na adres e-mail: …….. ,</w:t>
      </w:r>
    </w:p>
    <w:p w14:paraId="132D6D81" w14:textId="77777777" w:rsidR="00597E57" w:rsidRPr="0095206B" w:rsidRDefault="00597E57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Pierwsza transakcja zakupu może być zlecona przez Zamawiającego dopiero po obustronnym podpisaniu niniejszej Umowy i dostarczeniu podpisanej Umowy do  Wykonawcy.</w:t>
      </w:r>
    </w:p>
    <w:p w14:paraId="50CEA383" w14:textId="77777777" w:rsidR="00E44873" w:rsidRPr="0095206B" w:rsidRDefault="00597E57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after="24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Strony ustalają,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iż w przypadku braku zabezpieczenia przez Zamawiającego 100% deklarowanego wolumenu dla wszystkich punktu poboru energii </w:t>
      </w:r>
      <w:r w:rsidR="000E7B35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objętych umową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na 5 (pięć) dni roboczych przed rozpoczęciem danego miesiąca kalendarzowego dostaw w ramach produktu BASE, Wykonawca na potrzeby wyliczenia ceny </w:t>
      </w:r>
      <w:r w:rsidRPr="0095206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I_BASE_23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 rozliczy niezako</w:t>
      </w:r>
      <w:r w:rsidR="00F7528C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ntraktowany deklarowany wolumen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według notowań indeksu TGe24 na Rynku Dnia Następnego dla danego miesiąca kalendarzowego.</w:t>
      </w:r>
    </w:p>
    <w:p w14:paraId="2263B487" w14:textId="77777777" w:rsidR="00E44873" w:rsidRPr="0095206B" w:rsidRDefault="00E44873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uzyskane po realizacji zlecenia zakupu zgodnie w w/w mechanizmem mogą ulec zmianie wyłącznie w przypadku ustawowej zmiany stawki podatku VAT oraz podatku akcyzowego</w:t>
      </w:r>
      <w:r w:rsidR="00326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postanowieniami </w:t>
      </w:r>
      <w:r w:rsidR="00326F0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§ 7 Umowy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bookmarkEnd w:id="3"/>
    </w:p>
    <w:p w14:paraId="66117402" w14:textId="6C31DF5E" w:rsidR="007135F4" w:rsidRPr="0095206B" w:rsidRDefault="007135F4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okre</w:t>
      </w:r>
      <w:r w:rsidR="001F413D" w:rsidRPr="0095206B">
        <w:rPr>
          <w:rFonts w:asciiTheme="minorHAnsi" w:hAnsiTheme="minorHAnsi" w:cstheme="minorHAnsi"/>
          <w:sz w:val="24"/>
          <w:szCs w:val="24"/>
          <w:lang w:val="pl-PL"/>
        </w:rPr>
        <w:t>ślone w ust. 1 obowiązują także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dla nowo przyłączonych obiektów do sieci elektroenergetycznej OSD</w:t>
      </w:r>
      <w:r w:rsidR="00C20F4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zastrzeżeniem §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469C702E" w14:textId="75C0C365" w:rsidR="007E34D8" w:rsidRPr="0095206B" w:rsidRDefault="007B6B60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cza, że zlecenia zakupu zgodnie</w:t>
      </w:r>
      <w:r w:rsidR="00D124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zasadami określonymi w ust. 3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niniejszego paragrafu w jego 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mieniu składać będzie </w:t>
      </w:r>
      <w:r w:rsidR="00D537FB" w:rsidRPr="00D537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Gminny Zakład Gospodarki Komunalnej Spółka z o.o. w Chojnicach</w:t>
      </w:r>
      <w:r w:rsidR="00F0320B" w:rsidRPr="00D537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0320B" w:rsidRPr="0095206B">
        <w:rPr>
          <w:rFonts w:asciiTheme="minorHAnsi" w:hAnsiTheme="minorHAnsi" w:cstheme="minorHAnsi"/>
          <w:sz w:val="24"/>
          <w:szCs w:val="24"/>
          <w:lang w:val="pl-PL"/>
        </w:rPr>
        <w:t>lub wyznaczony przez niego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pełnomocnik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95206B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0AA43E4D" w14:textId="77777777" w:rsidR="00E44873" w:rsidRPr="0095206B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59F6B92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Rozliczenia za pobraną energię elektryczną odbywać się będą w okresach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rozliczeniowych stosowanyc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692B162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wystawienia faktur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VAT obejmujących należności za dany okres rozliczeniowy w terminie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do 1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od daty otrzymania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danych pomiarowych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rozliczeniowych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>od OSD</w:t>
      </w:r>
      <w:r w:rsidR="00A92F3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FE3E26" w14:textId="5CE2A752" w:rsidR="00E44873" w:rsidRPr="0095206B" w:rsidRDefault="00E44873" w:rsidP="00CB6998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Należność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ustalonej na podstawie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danych pomiarowo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rozliczeniowych przekazywanych Wykonawcy 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przez OSD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>i cen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jednostkow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określon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466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§ 5 Umowy. Do wyliczonej należności Wykonawca doliczy podatek VAT według obowiązującej </w:t>
      </w:r>
      <w:r w:rsidR="00D537FB" w:rsidRPr="00D537FB">
        <w:rPr>
          <w:rFonts w:asciiTheme="minorHAnsi" w:hAnsiTheme="minorHAnsi" w:cstheme="minorHAnsi"/>
          <w:sz w:val="24"/>
          <w:szCs w:val="24"/>
          <w:lang w:val="pl-PL"/>
        </w:rPr>
        <w:t>w dniu wystawienia faktury stawki podatku VAT</w:t>
      </w:r>
      <w:r w:rsidRPr="0095206B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18A2F912" w14:textId="77777777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AT wystawianych przez Wykonawcę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zgodnie z Załącznikiem nr 1 do U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>mowy stanowiącym szczegółowy podział odbiorów energii elektrycznej Zamawiającego.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F39E308" w14:textId="630609A2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Należności wynikające z faktur VAT będą płatne w terminie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>dni od daty otrzymania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wystawionej faktury na konto wskazane na fakturze. Za dzień zapłaty uznaje się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dzień uznania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rachunku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AC78C4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4617A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wysokość należności z tego tytułu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przypadku gdy wzór faktury Wykonawcy zawiera informacje określone powyżej, Wykonawca nie jest zobowiązany do załączania dodatkowej specyfikacji.</w:t>
      </w:r>
    </w:p>
    <w:p w14:paraId="445DB951" w14:textId="79AC72CD" w:rsidR="00E27E3D" w:rsidRPr="0095206B" w:rsidRDefault="00E27E3D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uzasadnionych wątpliwości co do prawidłowości wystawionej faktury Zamawiający złoży pisemną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 xml:space="preserve">lub mailową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5A9B285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ycie wskazań układu pomiarowo -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rzednio wystawionych faktur VAT w terminie 14 dni od otrzymanej reklamacji.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może dokonać korekty rozliczeń 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>na podstawie przesłane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formie elektronicznej lub papierowej przez Zamawiającego 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dokumentu (faktury) wystawionego przez OSD.</w:t>
      </w:r>
    </w:p>
    <w:p w14:paraId="0D68BD73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nie dotrzymania terminu płatności </w:t>
      </w:r>
      <w:r w:rsidR="00713CF6" w:rsidRPr="0095206B">
        <w:rPr>
          <w:rFonts w:asciiTheme="minorHAnsi" w:hAnsiTheme="minorHAnsi" w:cstheme="minorHAnsi"/>
          <w:sz w:val="24"/>
          <w:szCs w:val="24"/>
          <w:lang w:val="pl-PL"/>
        </w:rPr>
        <w:t>Wykonawca może obciążyć 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odsetkami ustawowymi.</w:t>
      </w:r>
    </w:p>
    <w:p w14:paraId="06389EB3" w14:textId="67BD125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 zmianach danych kont bankowych lub danych adresowych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Strony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zobowiązują się wzajemnie powiadamiać.</w:t>
      </w:r>
    </w:p>
    <w:p w14:paraId="452CFC2A" w14:textId="77777777" w:rsidR="004617A8" w:rsidRPr="0095206B" w:rsidRDefault="004617A8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69D2A781" w14:textId="77777777" w:rsidR="00BA4FFE" w:rsidRPr="0095206B" w:rsidRDefault="000E0FAC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oświadcza, że jest wpisany do Wykazu podatników VAT, prowadzonego przez Szefa Krajowej Administracji Skarbowej na podstawie art. 96b Ustawy z dnia 11 marca 2004 r. o podatku od towarów i usług (D.U. z 2018 r. poz. 2174 z późn. zm.).</w:t>
      </w:r>
    </w:p>
    <w:p w14:paraId="5170EE4F" w14:textId="77777777" w:rsidR="00BA4FFE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74731C7F" w14:textId="77777777" w:rsidR="00E44873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8" w:history="1">
        <w:r w:rsidR="00AA52FE" w:rsidRPr="0095206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………………………………………………..</w:t>
        </w:r>
      </w:hyperlink>
    </w:p>
    <w:p w14:paraId="7F191F21" w14:textId="77777777" w:rsidR="006D1A18" w:rsidRPr="0095206B" w:rsidRDefault="000A3DCD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7</w:t>
      </w:r>
    </w:p>
    <w:p w14:paraId="01CC43E1" w14:textId="24F62DDD" w:rsidR="006D1A18" w:rsidRPr="0095206B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</w:p>
    <w:p w14:paraId="1454D134" w14:textId="77777777" w:rsidR="0095362E" w:rsidRPr="0095206B" w:rsidRDefault="0095362E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3E253CB6" w:rsidR="0095362E" w:rsidRPr="0095206B" w:rsidRDefault="005827E8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D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opuszcza się możliwość wprowadzenia istotn</w:t>
      </w:r>
      <w:r w:rsidR="0002656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ych zmian postanowień zawartej U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mowy w stosunku do treści oferty, w następujących przypadkach:</w:t>
      </w:r>
    </w:p>
    <w:p w14:paraId="00CF7632" w14:textId="77777777" w:rsidR="003C2C89" w:rsidRPr="0095206B" w:rsidRDefault="003C2C89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31F61F87" w14:textId="77777777" w:rsidR="0095362E" w:rsidRPr="0095206B" w:rsidRDefault="0095362E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poinformuje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korekcie ceny energii elektrycznej dostarczanej na podstawie niniejszej Umowy, wskazując równocześnie zmiany przepisów prawa stanowiących podstawę wspomnianej korekty. Nowe ceny energii elektrycznej będą obowiązujące dla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i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4A243CD5" w14:textId="422569EB" w:rsidR="0095362E" w:rsidRPr="006D3783" w:rsidRDefault="006D3783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ilości Punktów Poboru energii elektrycznej. Zmiana ilości Punktów Poboru energii elektrycznej wynikać może z likwidacji Punktu Poboru lub włączenia nowego obiektu do eksploatacji przez Zamawiającego</w:t>
      </w:r>
      <w:r w:rsidR="0095362E"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5D4B50F9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zmian, które nie mają charakteru istotnego, to jest innych niż zdefiniowane w art. 454 ust. 2 ustawy Pzp;</w:t>
      </w:r>
    </w:p>
    <w:p w14:paraId="2D6E57F8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na zasadach określonych w art. 455 ust.1.</w:t>
      </w:r>
    </w:p>
    <w:p w14:paraId="7E966274" w14:textId="4B9C8E3A" w:rsidR="006D3783" w:rsidRPr="006D3783" w:rsidRDefault="006D3783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 ma prawo do zwiększenia ilości punktów poboru energii elektrycznej o których mowa w Załączniku nr 1 Umowy poprzez zawarcie stosownego aneksu do Umowy pod warunkiem, iż w/w odbiory zakwalifikowane będą do grup taryfowych ujętych w przedmiotowym postępowaniu przetargowym. Zwiększenie ilości punktów poboru energii elektrycznej nie może przekroczyć 10% ilości punktów poboru energii elektrycznej wynikającej z ww. Załącznika. Rozliczenie dodatkowych punktów poboru energii elektrycznej będzie się odbywać odpowiednio do pierwotnej części zamówienia i według tej samej ceny jednostkowej dla danego okresu dostawy.</w:t>
      </w:r>
    </w:p>
    <w:p w14:paraId="7D319411" w14:textId="77777777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720A3B3F" w14:textId="6D6AB802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umowy, pod rygorem nieważności, mogą być dokonywane na warunkach określonych przez przepisy prawa, wyłącznie za zgodą obu Stron, w formie pisemnej.</w:t>
      </w:r>
    </w:p>
    <w:p w14:paraId="0D8FCF75" w14:textId="77777777" w:rsidR="006D1A18" w:rsidRPr="0095206B" w:rsidRDefault="006D1A18" w:rsidP="00296E4B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50091C0A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do dnia 31.12.20</w:t>
      </w:r>
      <w:r w:rsidR="00D1552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opisanego w Załączniku nr 1 do U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mowy z dniem wskazanym w kolumnie „Okres dostaw”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umów kompleksowych, a także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6FF7B62C" w14:textId="09156F1C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lastRenderedPageBreak/>
        <w:t>Rozpoczęcie sprzedaży energii elektrycznej następuje ze stanem wskazań układu pomiarowo – rozliczeniowego podanym przez OSD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65436A1" w14:textId="31D9915E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66FC2014" w14:textId="110A37B6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12E88370" w14:textId="794BC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259CE9A4" w14:textId="57708EBC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</w:t>
      </w:r>
    </w:p>
    <w:p w14:paraId="203CF69F" w14:textId="7B380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</w:t>
      </w:r>
    </w:p>
    <w:p w14:paraId="1965FA61" w14:textId="35CB5F8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 xml:space="preserve">Wykonawca wykonuje niniejszą Umowę w sposób sprzeczny z obowiązującymi </w:t>
      </w:r>
      <w:r w:rsidRPr="006D3783">
        <w:rPr>
          <w:rFonts w:asciiTheme="minorHAnsi" w:hAnsiTheme="minorHAnsi" w:cstheme="minorHAnsi"/>
          <w:sz w:val="24"/>
          <w:szCs w:val="24"/>
          <w:lang w:val="pl-PL"/>
        </w:rPr>
        <w:br/>
        <w:t>w Polsce przepisami prawa, w szczególności przepisami przywołanymi w § 1 ust. 1 pkt 1 - 7 niniejszej Umowy</w:t>
      </w:r>
    </w:p>
    <w:p w14:paraId="7E79BB01" w14:textId="25948DE5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</w:t>
      </w:r>
    </w:p>
    <w:p w14:paraId="22C92128" w14:textId="379E431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3 i 8 niniejszego paragrafu, następuje w trybie natychmiastowym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0250EC4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może być rozwiązana przez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bez wypowiedzenia w przypadku, gdy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pomimo pisemnego wezwania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 wyznaczenia 14 dniowego terminu na usunięcie lub zaniechanie naruszeń nadal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rażąco i uporczywie narusza warunki Umowy.</w:t>
      </w:r>
    </w:p>
    <w:p w14:paraId="78B4206F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49D269A7" w14:textId="5EF9E310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388D24D" w14:textId="472FDFA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65CD2E5B" w14:textId="5158D7EC" w:rsidR="005E2ED9" w:rsidRDefault="005E2ED9" w:rsidP="00CB699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Wykonawca w chwili zawarcia Umowy podlegał wykluczeniu na podstawie art. 108 ustawy Pzp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092F5B" w14:textId="5B77A212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przypadku, o którym mowa w ust. 8 pkt 1 niniejszego paragrafu Umowy, Zamawiający odstępuje od Umowy w części, której zmiana dotyczy.</w:t>
      </w:r>
    </w:p>
    <w:p w14:paraId="43A93F87" w14:textId="3BE720F8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przypadkach, o których mowa w ust. 7 i 8 niniejszego paragrafu Umowy, Wykonawca może żądać wyłącznie wynagrodzenia należnego z tytułu wykonania części Umowy.</w:t>
      </w:r>
    </w:p>
    <w:p w14:paraId="361980B2" w14:textId="741B5E86" w:rsidR="008824A5" w:rsidRPr="005E2ED9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5140F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 sytuacji wykonania mikroinstalacji</w:t>
      </w:r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</w:t>
      </w:r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źródłach energii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F65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B6AFC51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</w:p>
    <w:p w14:paraId="1919B795" w14:textId="5D1C784C" w:rsidR="005733B0" w:rsidRPr="005733B0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Wykonawca zapłaci Zamawiającemu karę umowną za odstąpienie od umowy / rozwiązania umowy przez Zamawiającego lub Wykonawcę z przyczyn leżących po stronie Wykonawcy w wysokości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% wartości umowy brutto wskazanej w § 3 ust. 6. </w:t>
      </w:r>
    </w:p>
    <w:p w14:paraId="1A80A408" w14:textId="338D92B8" w:rsidR="00A41405" w:rsidRPr="0095206B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/ rozwiązanie umowy przez Zamawiającego z przyczyn leżących po stronie Zamawiającego w wysokości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>% wartości umowy brutto wskazanej w § 3 ust. 6.</w:t>
      </w:r>
    </w:p>
    <w:p w14:paraId="5421888B" w14:textId="77777777" w:rsidR="0050255F" w:rsidRPr="0095206B" w:rsidRDefault="00AA52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95206B" w:rsidRDefault="00E44873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3E922B28" w14:textId="77777777" w:rsidR="00DB7642" w:rsidRPr="0095206B" w:rsidRDefault="00BA4F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Formą obciążenia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karą umowną jest nota obciążeniowa. Karę umowną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 z wynagrodzenia należnego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95206B" w:rsidRDefault="00D15529" w:rsidP="00296E4B">
      <w:pPr>
        <w:pStyle w:val="Tekstpodstawowywcity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77777777" w:rsidR="002D3385" w:rsidRPr="0095206B" w:rsidRDefault="002D338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5A559F0C" w14:textId="77777777" w:rsidR="002D3385" w:rsidRPr="0095206B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95206B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77777777" w:rsidR="00A4140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elektrycznej.</w:t>
      </w:r>
    </w:p>
    <w:p w14:paraId="63061FE9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</w:p>
    <w:p w14:paraId="7A1D3C60" w14:textId="77777777" w:rsidR="002D338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4EA23944" w14:textId="77777777" w:rsidR="002D3385" w:rsidRPr="0095206B" w:rsidRDefault="002D338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77777777" w:rsidR="00A41405" w:rsidRPr="0095206B" w:rsidRDefault="00A4140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11</w:t>
      </w:r>
    </w:p>
    <w:p w14:paraId="69446893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95206B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377F3C" w:rsidRPr="0095206B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A41405" w:rsidRPr="0095206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</w:p>
    <w:p w14:paraId="30BA4494" w14:textId="77777777" w:rsidR="00E44873" w:rsidRPr="0095206B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28364AB4" w14:textId="77777777" w:rsidR="00A41405" w:rsidRPr="0095206B" w:rsidRDefault="0015318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95206B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5DCA6FE" w14:textId="77777777" w:rsidR="00A41405" w:rsidRPr="0095206B" w:rsidRDefault="004C475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Czynności opisane w § 3 ust. 1 pkt 4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C616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Wykonawca wykona w terminie 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 roboczych, licząc od daty podpisania niniejszego aneksu oraz otrzymania wszelkich niezbędnych danych oraz dokumentów od Zamawiającego.</w:t>
      </w:r>
    </w:p>
    <w:p w14:paraId="3CFF42AE" w14:textId="77777777" w:rsidR="0052614A" w:rsidRPr="0095206B" w:rsidRDefault="00DE2444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kierować będzie na adres Zamawiającego.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5210573A" w14:textId="77777777" w:rsidR="00DB7642" w:rsidRPr="0095206B" w:rsidRDefault="00DB7642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7EF28C1" w14:textId="77777777" w:rsidR="00F34AD2" w:rsidRPr="0095206B" w:rsidRDefault="00F34AD2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77777777" w:rsidR="00F34AD2" w:rsidRPr="0095206B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0C175F" w:rsidRPr="0095206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23E10DAA" w14:textId="77777777" w:rsidR="00A41405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0BD5E8DC" w14:textId="77777777" w:rsidR="00CD53F1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1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Wykaz obiektów Zamawiającego objętych umową,</w:t>
      </w:r>
    </w:p>
    <w:p w14:paraId="12251829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2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5206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95206B" w:rsidSect="001808E6"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5DA6" w14:textId="77777777" w:rsidR="0028045D" w:rsidRDefault="0028045D">
      <w:r>
        <w:separator/>
      </w:r>
    </w:p>
  </w:endnote>
  <w:endnote w:type="continuationSeparator" w:id="0">
    <w:p w14:paraId="647EB4E3" w14:textId="77777777" w:rsidR="0028045D" w:rsidRDefault="0028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1359BC" w:rsidRPr="001359BC">
      <w:rPr>
        <w:noProof/>
        <w:lang w:val="pl-PL"/>
      </w:rPr>
      <w:t>15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EAA3" w14:textId="77777777" w:rsidR="0028045D" w:rsidRDefault="0028045D">
      <w:r>
        <w:separator/>
      </w:r>
    </w:p>
  </w:footnote>
  <w:footnote w:type="continuationSeparator" w:id="0">
    <w:p w14:paraId="0104FFBE" w14:textId="77777777" w:rsidR="0028045D" w:rsidRDefault="0028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" w15:restartNumberingAfterBreak="0">
    <w:nsid w:val="0717382B"/>
    <w:multiLevelType w:val="hybridMultilevel"/>
    <w:tmpl w:val="62328644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8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8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 w16cid:durableId="1067529816">
    <w:abstractNumId w:val="15"/>
  </w:num>
  <w:num w:numId="2" w16cid:durableId="464154030">
    <w:abstractNumId w:val="12"/>
  </w:num>
  <w:num w:numId="3" w16cid:durableId="1491629835">
    <w:abstractNumId w:val="17"/>
  </w:num>
  <w:num w:numId="4" w16cid:durableId="455107454">
    <w:abstractNumId w:val="7"/>
  </w:num>
  <w:num w:numId="5" w16cid:durableId="413625401">
    <w:abstractNumId w:val="18"/>
  </w:num>
  <w:num w:numId="6" w16cid:durableId="1039934702">
    <w:abstractNumId w:val="13"/>
  </w:num>
  <w:num w:numId="7" w16cid:durableId="207225494">
    <w:abstractNumId w:val="5"/>
  </w:num>
  <w:num w:numId="8" w16cid:durableId="393048595">
    <w:abstractNumId w:val="3"/>
  </w:num>
  <w:num w:numId="9" w16cid:durableId="2097901726">
    <w:abstractNumId w:val="6"/>
  </w:num>
  <w:num w:numId="10" w16cid:durableId="1580480857">
    <w:abstractNumId w:val="9"/>
  </w:num>
  <w:num w:numId="11" w16cid:durableId="587083244">
    <w:abstractNumId w:val="10"/>
  </w:num>
  <w:num w:numId="12" w16cid:durableId="1425148358">
    <w:abstractNumId w:val="14"/>
  </w:num>
  <w:num w:numId="13" w16cid:durableId="2054577040">
    <w:abstractNumId w:val="16"/>
  </w:num>
  <w:num w:numId="14" w16cid:durableId="848644431">
    <w:abstractNumId w:val="4"/>
  </w:num>
  <w:num w:numId="15" w16cid:durableId="1855803485">
    <w:abstractNumId w:val="11"/>
  </w:num>
  <w:num w:numId="16" w16cid:durableId="8514080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656B"/>
    <w:rsid w:val="00026CD4"/>
    <w:rsid w:val="000320DB"/>
    <w:rsid w:val="000333A8"/>
    <w:rsid w:val="000336EF"/>
    <w:rsid w:val="0004221F"/>
    <w:rsid w:val="00043242"/>
    <w:rsid w:val="000464D8"/>
    <w:rsid w:val="000467E1"/>
    <w:rsid w:val="00050F33"/>
    <w:rsid w:val="00052A41"/>
    <w:rsid w:val="00055638"/>
    <w:rsid w:val="00056078"/>
    <w:rsid w:val="00060133"/>
    <w:rsid w:val="00070C67"/>
    <w:rsid w:val="00071909"/>
    <w:rsid w:val="000931DC"/>
    <w:rsid w:val="000936CA"/>
    <w:rsid w:val="00094C36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39BE"/>
    <w:rsid w:val="000D3FA0"/>
    <w:rsid w:val="000D7CE4"/>
    <w:rsid w:val="000E0FAC"/>
    <w:rsid w:val="000E3B33"/>
    <w:rsid w:val="000E7B35"/>
    <w:rsid w:val="000F4F9C"/>
    <w:rsid w:val="0010423F"/>
    <w:rsid w:val="00104EBB"/>
    <w:rsid w:val="0010566A"/>
    <w:rsid w:val="001058E0"/>
    <w:rsid w:val="00122EDB"/>
    <w:rsid w:val="0012371D"/>
    <w:rsid w:val="00123CA8"/>
    <w:rsid w:val="001359BC"/>
    <w:rsid w:val="00140B20"/>
    <w:rsid w:val="00142AF3"/>
    <w:rsid w:val="00143C91"/>
    <w:rsid w:val="0015102B"/>
    <w:rsid w:val="0015152A"/>
    <w:rsid w:val="00152442"/>
    <w:rsid w:val="00153185"/>
    <w:rsid w:val="00153AC9"/>
    <w:rsid w:val="001609CE"/>
    <w:rsid w:val="00162110"/>
    <w:rsid w:val="001638C4"/>
    <w:rsid w:val="00166585"/>
    <w:rsid w:val="001724BE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4768"/>
    <w:rsid w:val="001B5CC2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62E4"/>
    <w:rsid w:val="001E7E7F"/>
    <w:rsid w:val="001F341B"/>
    <w:rsid w:val="001F413D"/>
    <w:rsid w:val="001F47BF"/>
    <w:rsid w:val="002025E8"/>
    <w:rsid w:val="002163EA"/>
    <w:rsid w:val="00216C17"/>
    <w:rsid w:val="0021732F"/>
    <w:rsid w:val="00235371"/>
    <w:rsid w:val="0023711A"/>
    <w:rsid w:val="002413CF"/>
    <w:rsid w:val="00242959"/>
    <w:rsid w:val="00243836"/>
    <w:rsid w:val="002471E6"/>
    <w:rsid w:val="0025481F"/>
    <w:rsid w:val="00261787"/>
    <w:rsid w:val="00263FF4"/>
    <w:rsid w:val="00267340"/>
    <w:rsid w:val="002724E5"/>
    <w:rsid w:val="0027651D"/>
    <w:rsid w:val="0028045D"/>
    <w:rsid w:val="00280963"/>
    <w:rsid w:val="00280A47"/>
    <w:rsid w:val="00281004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1EDD"/>
    <w:rsid w:val="002C22CA"/>
    <w:rsid w:val="002C322F"/>
    <w:rsid w:val="002C5EC9"/>
    <w:rsid w:val="002C636C"/>
    <w:rsid w:val="002D02A9"/>
    <w:rsid w:val="002D3385"/>
    <w:rsid w:val="002D5B07"/>
    <w:rsid w:val="002D6BAD"/>
    <w:rsid w:val="002F2074"/>
    <w:rsid w:val="003006FF"/>
    <w:rsid w:val="00303BF3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74FA"/>
    <w:rsid w:val="0036379A"/>
    <w:rsid w:val="00363C95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7232"/>
    <w:rsid w:val="00420FD0"/>
    <w:rsid w:val="00422DD6"/>
    <w:rsid w:val="004240A4"/>
    <w:rsid w:val="00427ADD"/>
    <w:rsid w:val="00441424"/>
    <w:rsid w:val="00446F63"/>
    <w:rsid w:val="0045300F"/>
    <w:rsid w:val="00454A5C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A5D88"/>
    <w:rsid w:val="004C058F"/>
    <w:rsid w:val="004C4755"/>
    <w:rsid w:val="004C692C"/>
    <w:rsid w:val="004E0A8F"/>
    <w:rsid w:val="004E2429"/>
    <w:rsid w:val="004E3401"/>
    <w:rsid w:val="004E3840"/>
    <w:rsid w:val="004F30AD"/>
    <w:rsid w:val="004F5A0A"/>
    <w:rsid w:val="004F5BBB"/>
    <w:rsid w:val="0050255F"/>
    <w:rsid w:val="005119A3"/>
    <w:rsid w:val="00512FD2"/>
    <w:rsid w:val="00514450"/>
    <w:rsid w:val="0051744F"/>
    <w:rsid w:val="00523B74"/>
    <w:rsid w:val="00524428"/>
    <w:rsid w:val="005257B3"/>
    <w:rsid w:val="0052614A"/>
    <w:rsid w:val="00527756"/>
    <w:rsid w:val="0054599E"/>
    <w:rsid w:val="00546D19"/>
    <w:rsid w:val="005533D2"/>
    <w:rsid w:val="00563220"/>
    <w:rsid w:val="00564DF4"/>
    <w:rsid w:val="00567361"/>
    <w:rsid w:val="005733B0"/>
    <w:rsid w:val="00580446"/>
    <w:rsid w:val="005816D7"/>
    <w:rsid w:val="005827E8"/>
    <w:rsid w:val="00583940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6D38"/>
    <w:rsid w:val="005D0921"/>
    <w:rsid w:val="005D2104"/>
    <w:rsid w:val="005E12E7"/>
    <w:rsid w:val="005E2ED9"/>
    <w:rsid w:val="005E3220"/>
    <w:rsid w:val="005E32C5"/>
    <w:rsid w:val="005E4BC5"/>
    <w:rsid w:val="005E5623"/>
    <w:rsid w:val="005F7C5A"/>
    <w:rsid w:val="00601848"/>
    <w:rsid w:val="00614C95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1360"/>
    <w:rsid w:val="006D1A18"/>
    <w:rsid w:val="006D1E8D"/>
    <w:rsid w:val="006D3783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31F6E"/>
    <w:rsid w:val="007415C4"/>
    <w:rsid w:val="00744038"/>
    <w:rsid w:val="00745C02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2545"/>
    <w:rsid w:val="007741E9"/>
    <w:rsid w:val="00776CA1"/>
    <w:rsid w:val="00776D32"/>
    <w:rsid w:val="00777E67"/>
    <w:rsid w:val="0078766B"/>
    <w:rsid w:val="0079161F"/>
    <w:rsid w:val="007934D4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703B"/>
    <w:rsid w:val="007E34D8"/>
    <w:rsid w:val="007F2AD2"/>
    <w:rsid w:val="007F518E"/>
    <w:rsid w:val="00800261"/>
    <w:rsid w:val="0080072F"/>
    <w:rsid w:val="00801245"/>
    <w:rsid w:val="008064C0"/>
    <w:rsid w:val="008101D4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5231"/>
    <w:rsid w:val="00850BB6"/>
    <w:rsid w:val="00853379"/>
    <w:rsid w:val="00853AE7"/>
    <w:rsid w:val="00854ECF"/>
    <w:rsid w:val="0086299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3AF3"/>
    <w:rsid w:val="008E0730"/>
    <w:rsid w:val="008E1039"/>
    <w:rsid w:val="008E176A"/>
    <w:rsid w:val="008E7D4C"/>
    <w:rsid w:val="008F1BDE"/>
    <w:rsid w:val="008F3644"/>
    <w:rsid w:val="0090753B"/>
    <w:rsid w:val="00911B3D"/>
    <w:rsid w:val="00913E8A"/>
    <w:rsid w:val="00915491"/>
    <w:rsid w:val="00916F73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432D"/>
    <w:rsid w:val="009951C8"/>
    <w:rsid w:val="00997B0E"/>
    <w:rsid w:val="009A1F15"/>
    <w:rsid w:val="009A7064"/>
    <w:rsid w:val="009B3D27"/>
    <w:rsid w:val="009B55CC"/>
    <w:rsid w:val="009C4857"/>
    <w:rsid w:val="009C58ED"/>
    <w:rsid w:val="009D1320"/>
    <w:rsid w:val="009D198F"/>
    <w:rsid w:val="009D7FE5"/>
    <w:rsid w:val="009E050B"/>
    <w:rsid w:val="009E29FF"/>
    <w:rsid w:val="009E308D"/>
    <w:rsid w:val="009E4666"/>
    <w:rsid w:val="009E6200"/>
    <w:rsid w:val="009F7750"/>
    <w:rsid w:val="00A05BB4"/>
    <w:rsid w:val="00A11B23"/>
    <w:rsid w:val="00A1587E"/>
    <w:rsid w:val="00A203A5"/>
    <w:rsid w:val="00A31E1D"/>
    <w:rsid w:val="00A3722A"/>
    <w:rsid w:val="00A4042B"/>
    <w:rsid w:val="00A41405"/>
    <w:rsid w:val="00A424FD"/>
    <w:rsid w:val="00A56A36"/>
    <w:rsid w:val="00A57131"/>
    <w:rsid w:val="00A62E45"/>
    <w:rsid w:val="00A64FC8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5218"/>
    <w:rsid w:val="00AC73F5"/>
    <w:rsid w:val="00AE192E"/>
    <w:rsid w:val="00AF097B"/>
    <w:rsid w:val="00AF2BA0"/>
    <w:rsid w:val="00AF7449"/>
    <w:rsid w:val="00B02519"/>
    <w:rsid w:val="00B039C2"/>
    <w:rsid w:val="00B052C1"/>
    <w:rsid w:val="00B22832"/>
    <w:rsid w:val="00B2470C"/>
    <w:rsid w:val="00B303D2"/>
    <w:rsid w:val="00B31303"/>
    <w:rsid w:val="00B54EE1"/>
    <w:rsid w:val="00B60206"/>
    <w:rsid w:val="00B6213D"/>
    <w:rsid w:val="00B627E1"/>
    <w:rsid w:val="00B65A7E"/>
    <w:rsid w:val="00B6749F"/>
    <w:rsid w:val="00B728EE"/>
    <w:rsid w:val="00B80F53"/>
    <w:rsid w:val="00B8252E"/>
    <w:rsid w:val="00B86290"/>
    <w:rsid w:val="00B91867"/>
    <w:rsid w:val="00B940BC"/>
    <w:rsid w:val="00B94268"/>
    <w:rsid w:val="00B9566D"/>
    <w:rsid w:val="00B956EA"/>
    <w:rsid w:val="00BA20DE"/>
    <w:rsid w:val="00BA2B70"/>
    <w:rsid w:val="00BA4FFE"/>
    <w:rsid w:val="00BA7191"/>
    <w:rsid w:val="00BB1DFA"/>
    <w:rsid w:val="00BC4445"/>
    <w:rsid w:val="00BC542A"/>
    <w:rsid w:val="00BD0C12"/>
    <w:rsid w:val="00BD5E3D"/>
    <w:rsid w:val="00BD63DE"/>
    <w:rsid w:val="00BF07B9"/>
    <w:rsid w:val="00BF1C24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6998"/>
    <w:rsid w:val="00CB70BA"/>
    <w:rsid w:val="00CC0AFC"/>
    <w:rsid w:val="00CC2F25"/>
    <w:rsid w:val="00CC7579"/>
    <w:rsid w:val="00CC7D2C"/>
    <w:rsid w:val="00CD53F1"/>
    <w:rsid w:val="00CD6E1F"/>
    <w:rsid w:val="00CE16EF"/>
    <w:rsid w:val="00CE4ABD"/>
    <w:rsid w:val="00CF7561"/>
    <w:rsid w:val="00D00EAC"/>
    <w:rsid w:val="00D05D4E"/>
    <w:rsid w:val="00D12469"/>
    <w:rsid w:val="00D15529"/>
    <w:rsid w:val="00D16059"/>
    <w:rsid w:val="00D16627"/>
    <w:rsid w:val="00D3224A"/>
    <w:rsid w:val="00D462D3"/>
    <w:rsid w:val="00D46DCD"/>
    <w:rsid w:val="00D5265E"/>
    <w:rsid w:val="00D537FB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87F70"/>
    <w:rsid w:val="00D9696A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41EFD"/>
    <w:rsid w:val="00E44873"/>
    <w:rsid w:val="00E46F22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B1B13"/>
    <w:rsid w:val="00EB58F4"/>
    <w:rsid w:val="00EB70D1"/>
    <w:rsid w:val="00EC44F6"/>
    <w:rsid w:val="00ED0BCF"/>
    <w:rsid w:val="00ED1B60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41048"/>
    <w:rsid w:val="00F52656"/>
    <w:rsid w:val="00F53FBB"/>
    <w:rsid w:val="00F57AEA"/>
    <w:rsid w:val="00F61487"/>
    <w:rsid w:val="00F62A76"/>
    <w:rsid w:val="00F7528C"/>
    <w:rsid w:val="00F7706F"/>
    <w:rsid w:val="00F827F2"/>
    <w:rsid w:val="00F827F3"/>
    <w:rsid w:val="00F842CD"/>
    <w:rsid w:val="00F850DA"/>
    <w:rsid w:val="00F97C4B"/>
    <w:rsid w:val="00FA1823"/>
    <w:rsid w:val="00FA39C8"/>
    <w:rsid w:val="00FB09C8"/>
    <w:rsid w:val="00FB40A7"/>
    <w:rsid w:val="00FB427C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sierak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15</Pages>
  <Words>4670</Words>
  <Characters>28022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</vt:lpstr>
      <vt:lpstr>Załącznik nr 11</vt:lpstr>
    </vt:vector>
  </TitlesOfParts>
  <Company>Energy Code</Company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Energy Code</dc:creator>
  <cp:keywords/>
  <cp:lastModifiedBy>IrekK</cp:lastModifiedBy>
  <cp:revision>3</cp:revision>
  <cp:lastPrinted>1900-12-31T23:00:00Z</cp:lastPrinted>
  <dcterms:created xsi:type="dcterms:W3CDTF">2022-10-05T10:03:00Z</dcterms:created>
  <dcterms:modified xsi:type="dcterms:W3CDTF">2022-10-13T10:55:00Z</dcterms:modified>
</cp:coreProperties>
</file>