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7B8F39AA"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5</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14800022" w14:textId="2BB6799A" w:rsidR="00C05890" w:rsidRDefault="00C05890" w:rsidP="00996B12">
      <w:pPr>
        <w:pStyle w:val="Akapitzlist"/>
        <w:numPr>
          <w:ilvl w:val="0"/>
          <w:numId w:val="1"/>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383492">
        <w:rPr>
          <w:rFonts w:ascii="Arial" w:hAnsi="Arial" w:cs="Arial"/>
        </w:rPr>
        <w:t>wyroby medyczne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z </w:t>
      </w:r>
      <w:r w:rsidR="00DA1647">
        <w:rPr>
          <w:rFonts w:ascii="Arial" w:hAnsi="Arial" w:cs="Arial"/>
        </w:rPr>
        <w:t>przepisami U</w:t>
      </w:r>
      <w:r w:rsidRPr="002179B7">
        <w:rPr>
          <w:rFonts w:ascii="Arial" w:hAnsi="Arial" w:cs="Arial"/>
        </w:rPr>
        <w:t>staw</w:t>
      </w:r>
      <w:r w:rsidR="00DA1647">
        <w:rPr>
          <w:rFonts w:ascii="Arial" w:hAnsi="Arial" w:cs="Arial"/>
        </w:rPr>
        <w:t>y</w:t>
      </w:r>
      <w:r w:rsidRPr="002179B7">
        <w:rPr>
          <w:rFonts w:ascii="Arial" w:hAnsi="Arial" w:cs="Arial"/>
        </w:rPr>
        <w:t xml:space="preserve"> </w:t>
      </w:r>
      <w:r w:rsidR="00996B12" w:rsidRPr="00996B12">
        <w:rPr>
          <w:rFonts w:ascii="Arial" w:hAnsi="Arial" w:cs="Arial"/>
        </w:rPr>
        <w:t xml:space="preserve">z dnia </w:t>
      </w:r>
      <w:r w:rsidR="00383492">
        <w:rPr>
          <w:rFonts w:ascii="Arial" w:hAnsi="Arial" w:cs="Arial"/>
        </w:rPr>
        <w:t>20 maja 2010</w:t>
      </w:r>
      <w:r w:rsidR="00996B12" w:rsidRPr="00996B12">
        <w:rPr>
          <w:rFonts w:ascii="Arial" w:hAnsi="Arial" w:cs="Arial"/>
        </w:rPr>
        <w:t xml:space="preserve"> r. </w:t>
      </w:r>
      <w:r w:rsidR="00383492">
        <w:rPr>
          <w:rFonts w:ascii="Arial" w:hAnsi="Arial" w:cs="Arial"/>
        </w:rPr>
        <w:t>o wyrobach medycznych</w:t>
      </w:r>
      <w:r w:rsidR="00996B12" w:rsidRPr="00996B12">
        <w:rPr>
          <w:rFonts w:ascii="Arial" w:hAnsi="Arial" w:cs="Arial"/>
        </w:rPr>
        <w:t xml:space="preserve"> (Dz.</w:t>
      </w:r>
      <w:r w:rsidR="00996B12">
        <w:rPr>
          <w:rFonts w:ascii="Arial" w:hAnsi="Arial" w:cs="Arial"/>
        </w:rPr>
        <w:t xml:space="preserve"> </w:t>
      </w:r>
      <w:r w:rsidR="00996B12" w:rsidRPr="00996B12">
        <w:rPr>
          <w:rFonts w:ascii="Arial" w:hAnsi="Arial" w:cs="Arial"/>
        </w:rPr>
        <w:t xml:space="preserve">U. </w:t>
      </w:r>
      <w:r w:rsidR="00383492">
        <w:rPr>
          <w:rFonts w:ascii="Arial" w:hAnsi="Arial" w:cs="Arial"/>
        </w:rPr>
        <w:t xml:space="preserve">z </w:t>
      </w:r>
      <w:r w:rsidR="00996B12" w:rsidRPr="00996B12">
        <w:rPr>
          <w:rFonts w:ascii="Arial" w:hAnsi="Arial" w:cs="Arial"/>
        </w:rPr>
        <w:t>20</w:t>
      </w:r>
      <w:r w:rsidR="00383492">
        <w:rPr>
          <w:rFonts w:ascii="Arial" w:hAnsi="Arial" w:cs="Arial"/>
        </w:rPr>
        <w:t>20 r.</w:t>
      </w:r>
      <w:r w:rsidR="00996B12" w:rsidRPr="00996B12">
        <w:rPr>
          <w:rFonts w:ascii="Arial" w:hAnsi="Arial" w:cs="Arial"/>
        </w:rPr>
        <w:t xml:space="preserve"> poz. 1</w:t>
      </w:r>
      <w:r w:rsidR="00383492">
        <w:rPr>
          <w:rFonts w:ascii="Arial" w:hAnsi="Arial" w:cs="Arial"/>
        </w:rPr>
        <w:t>86</w:t>
      </w:r>
      <w:r w:rsidR="00996B12" w:rsidRPr="00996B12">
        <w:rPr>
          <w:rFonts w:ascii="Arial" w:hAnsi="Arial" w:cs="Arial"/>
        </w:rPr>
        <w:t xml:space="preserve"> z </w:t>
      </w:r>
      <w:proofErr w:type="spellStart"/>
      <w:r w:rsidR="00996B12" w:rsidRPr="00996B12">
        <w:rPr>
          <w:rFonts w:ascii="Arial" w:hAnsi="Arial" w:cs="Arial"/>
        </w:rPr>
        <w:t>późn</w:t>
      </w:r>
      <w:proofErr w:type="spellEnd"/>
      <w:r w:rsidR="00996B12" w:rsidRPr="00996B12">
        <w:rPr>
          <w:rFonts w:ascii="Arial" w:hAnsi="Arial" w:cs="Arial"/>
        </w:rPr>
        <w:t>. zm.)</w:t>
      </w:r>
      <w:r w:rsidR="00996B12">
        <w:rPr>
          <w:rFonts w:ascii="Arial" w:hAnsi="Arial" w:cs="Arial"/>
        </w:rPr>
        <w:t>,</w:t>
      </w:r>
      <w:r w:rsidRPr="00996B12">
        <w:rPr>
          <w:rFonts w:ascii="Arial" w:hAnsi="Arial" w:cs="Arial"/>
        </w:rPr>
        <w:t xml:space="preserve"> </w:t>
      </w:r>
      <w:r w:rsidR="00996B12">
        <w:rPr>
          <w:rFonts w:ascii="Arial" w:hAnsi="Arial" w:cs="Arial"/>
        </w:rPr>
        <w:t>c</w:t>
      </w:r>
      <w:r w:rsidR="00DA1647" w:rsidRPr="00996B12">
        <w:rPr>
          <w:rFonts w:ascii="Arial" w:hAnsi="Arial" w:cs="Arial"/>
        </w:rPr>
        <w:t xml:space="preserve">ertyfikat CE wraz z numerem jednostki notyfikowanej. </w:t>
      </w:r>
      <w:r w:rsidRPr="00996B12">
        <w:rPr>
          <w:rFonts w:ascii="Arial" w:hAnsi="Arial" w:cs="Arial"/>
        </w:rPr>
        <w:t>Zamawiający może zażądać udostępnienia tych dokumentów do wglądu</w:t>
      </w:r>
      <w:r w:rsidR="00913317">
        <w:rPr>
          <w:rFonts w:ascii="Arial" w:hAnsi="Arial" w:cs="Arial"/>
        </w:rPr>
        <w:t xml:space="preserve"> </w:t>
      </w:r>
      <w:bookmarkStart w:id="0" w:name="_Hlk98156900"/>
      <w:r w:rsidR="00913317">
        <w:rPr>
          <w:rFonts w:ascii="Arial" w:hAnsi="Arial" w:cs="Arial"/>
        </w:rPr>
        <w:t>na każdym etapie prowadzonego postępowania oraz w trakcie obowiązywania umowy</w:t>
      </w:r>
      <w:bookmarkEnd w:id="0"/>
      <w:r w:rsidRPr="00996B12">
        <w:rPr>
          <w:rFonts w:ascii="Arial" w:hAnsi="Arial" w:cs="Arial"/>
        </w:rPr>
        <w:t>.</w:t>
      </w:r>
    </w:p>
    <w:p w14:paraId="1263D3CD" w14:textId="142C63EF" w:rsidR="00383492" w:rsidRPr="00E843E7" w:rsidRDefault="00E843E7" w:rsidP="00E843E7">
      <w:pPr>
        <w:pStyle w:val="Akapitzlist"/>
        <w:numPr>
          <w:ilvl w:val="1"/>
          <w:numId w:val="9"/>
        </w:numPr>
        <w:spacing w:line="360" w:lineRule="auto"/>
        <w:ind w:left="709" w:firstLine="11"/>
        <w:jc w:val="both"/>
        <w:rPr>
          <w:rFonts w:ascii="Arial" w:hAnsi="Arial" w:cs="Arial"/>
        </w:rPr>
      </w:pPr>
      <w:r>
        <w:rPr>
          <w:rFonts w:ascii="Arial" w:hAnsi="Arial" w:cs="Arial"/>
        </w:rPr>
        <w:t xml:space="preserve">Oprócz karty charakterystyki </w:t>
      </w:r>
      <w:r w:rsidR="00383492" w:rsidRPr="00E843E7">
        <w:rPr>
          <w:rFonts w:ascii="Arial" w:hAnsi="Arial" w:cs="Arial"/>
        </w:rPr>
        <w:t>Zamawiając</w:t>
      </w:r>
      <w:r>
        <w:rPr>
          <w:rFonts w:ascii="Arial" w:hAnsi="Arial" w:cs="Arial"/>
        </w:rPr>
        <w:t>y może żądać</w:t>
      </w:r>
      <w:r w:rsidR="00383492" w:rsidRPr="00E843E7">
        <w:rPr>
          <w:rFonts w:ascii="Arial" w:hAnsi="Arial" w:cs="Arial"/>
        </w:rPr>
        <w:t xml:space="preserve"> </w:t>
      </w:r>
      <w:r>
        <w:rPr>
          <w:rFonts w:ascii="Arial" w:hAnsi="Arial" w:cs="Arial"/>
        </w:rPr>
        <w:t xml:space="preserve">od Wykonawcy </w:t>
      </w:r>
      <w:r w:rsidRPr="00E843E7">
        <w:rPr>
          <w:rFonts w:ascii="Arial" w:hAnsi="Arial" w:cs="Arial"/>
        </w:rPr>
        <w:t xml:space="preserve">na każdym etapie prowadzonego postępowania oraz w trakcie obowiązywania umowy </w:t>
      </w:r>
      <w:r w:rsidR="00383492" w:rsidRPr="00E843E7">
        <w:rPr>
          <w:rFonts w:ascii="Arial" w:hAnsi="Arial" w:cs="Arial"/>
        </w:rPr>
        <w:t>dokumentacj</w:t>
      </w:r>
      <w:r>
        <w:rPr>
          <w:rFonts w:ascii="Arial" w:hAnsi="Arial" w:cs="Arial"/>
        </w:rPr>
        <w:t>i</w:t>
      </w:r>
      <w:r w:rsidR="00383492" w:rsidRPr="00E843E7">
        <w:rPr>
          <w:rFonts w:ascii="Arial" w:hAnsi="Arial" w:cs="Arial"/>
        </w:rPr>
        <w:t xml:space="preserve"> potwierdzając</w:t>
      </w:r>
      <w:r>
        <w:rPr>
          <w:rFonts w:ascii="Arial" w:hAnsi="Arial" w:cs="Arial"/>
        </w:rPr>
        <w:t>ej</w:t>
      </w:r>
      <w:r w:rsidR="00383492" w:rsidRPr="00E843E7">
        <w:rPr>
          <w:rFonts w:ascii="Arial" w:hAnsi="Arial" w:cs="Arial"/>
        </w:rPr>
        <w:t xml:space="preserve"> zakres</w:t>
      </w:r>
      <w:r>
        <w:rPr>
          <w:rFonts w:ascii="Arial" w:hAnsi="Arial" w:cs="Arial"/>
        </w:rPr>
        <w:t xml:space="preserve"> </w:t>
      </w:r>
      <w:r w:rsidR="00383492" w:rsidRPr="00E843E7">
        <w:rPr>
          <w:rFonts w:ascii="Arial" w:hAnsi="Arial" w:cs="Arial"/>
        </w:rPr>
        <w:t>działania</w:t>
      </w:r>
      <w:r>
        <w:rPr>
          <w:rFonts w:ascii="Arial" w:hAnsi="Arial" w:cs="Arial"/>
        </w:rPr>
        <w:t xml:space="preserve"> oferowanego przedmiotu zamówienia</w:t>
      </w:r>
      <w:r w:rsidR="00383492" w:rsidRPr="00E843E7">
        <w:rPr>
          <w:rFonts w:ascii="Arial" w:hAnsi="Arial" w:cs="Arial"/>
        </w:rPr>
        <w:t xml:space="preserve"> </w:t>
      </w:r>
      <w:r>
        <w:rPr>
          <w:rFonts w:ascii="Arial" w:hAnsi="Arial" w:cs="Arial"/>
        </w:rPr>
        <w:t>(</w:t>
      </w:r>
      <w:r w:rsidR="00383492" w:rsidRPr="00E843E7">
        <w:rPr>
          <w:rFonts w:ascii="Arial" w:hAnsi="Arial" w:cs="Arial"/>
        </w:rPr>
        <w:t>badania  mikrobiologiczne, właściwości fizyczne i chemiczne</w:t>
      </w:r>
      <w:r w:rsidR="00A04542">
        <w:rPr>
          <w:rFonts w:ascii="Arial" w:hAnsi="Arial" w:cs="Arial"/>
        </w:rPr>
        <w:t xml:space="preserve"> </w:t>
      </w:r>
      <w:r w:rsidR="00A04542" w:rsidRPr="00A04542">
        <w:rPr>
          <w:rFonts w:ascii="Arial" w:hAnsi="Arial" w:cs="Arial"/>
        </w:rPr>
        <w:t>oraz posiadane opinie i rekomendacje</w:t>
      </w:r>
      <w:r>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05D9B679"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26F1D2DA"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01C2718C"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.3 Zamawiający opisując przedmiot zamówienia poprzez odniesienie się do norm, europejskich ocen technicznych, aprobat, specyfikacji technicznych i systemów referencji 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33644DE0"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w:t>
      </w:r>
      <w:r w:rsidR="0000580F" w:rsidRPr="0000580F">
        <w:rPr>
          <w:sz w:val="20"/>
          <w:szCs w:val="20"/>
        </w:rPr>
        <w:lastRenderedPageBreak/>
        <w:t xml:space="preserve">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386D21C6" w:rsidR="00913317" w:rsidRPr="0000580F" w:rsidRDefault="007A77D4" w:rsidP="00913317">
      <w:pPr>
        <w:pStyle w:val="Default"/>
        <w:spacing w:line="360" w:lineRule="auto"/>
        <w:ind w:left="709"/>
        <w:jc w:val="both"/>
        <w:rPr>
          <w:sz w:val="20"/>
          <w:szCs w:val="20"/>
        </w:rPr>
      </w:pPr>
      <w:r>
        <w:rPr>
          <w:sz w:val="20"/>
          <w:szCs w:val="20"/>
        </w:rPr>
        <w:t>2</w:t>
      </w:r>
      <w:r w:rsidR="0000580F" w:rsidRPr="0000580F">
        <w:rPr>
          <w:sz w:val="20"/>
          <w:szCs w:val="20"/>
        </w:rPr>
        <w:t>.</w:t>
      </w:r>
      <w:r>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6C794132"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20%</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Pr="00FC766F">
        <w:rPr>
          <w:rFonts w:ascii="Arial" w:hAnsi="Arial" w:cs="Arial"/>
          <w:b/>
          <w:bCs/>
        </w:rPr>
        <w:t>80%</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5D4A8AB4" w:rsidR="00747884" w:rsidRP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Przedmiot zamówienia będzie dostarczany sukcesywnie (częściowo) przez Wykonawcę do siedziby  Zamawiającego tj. do wewnątrz budynku apteki mieszczącej się w budynku E, ul. Szpitalna 28, 77-400 Złotów, zgodnie z zamówieniem przesłanym pocztą elektroniczną e-mailem:</w:t>
      </w:r>
    </w:p>
    <w:p w14:paraId="6DAC97B5" w14:textId="53B8F548" w:rsidR="00747884" w:rsidRPr="00C24824" w:rsidRDefault="00805A76" w:rsidP="00C2482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C24824">
        <w:rPr>
          <w:rFonts w:ascii="Arial" w:hAnsi="Arial" w:cs="Arial"/>
          <w:lang w:val="it-IT"/>
        </w:rPr>
        <w:t xml:space="preserve">dostawy będą realizowane w ciągu </w:t>
      </w:r>
      <w:r w:rsidR="00A8249C">
        <w:rPr>
          <w:rFonts w:ascii="Arial" w:hAnsi="Arial" w:cs="Arial"/>
          <w:b/>
          <w:bCs/>
          <w:lang w:val="it-IT"/>
        </w:rPr>
        <w:t>48</w:t>
      </w:r>
      <w:r w:rsidRPr="00C24824">
        <w:rPr>
          <w:rFonts w:ascii="Arial" w:hAnsi="Arial" w:cs="Arial"/>
          <w:b/>
          <w:bCs/>
          <w:lang w:val="it-IT"/>
        </w:rPr>
        <w:t xml:space="preserve"> godzin</w:t>
      </w:r>
      <w:r w:rsidR="00A8249C">
        <w:rPr>
          <w:rFonts w:ascii="Arial" w:hAnsi="Arial" w:cs="Arial"/>
          <w:b/>
          <w:bCs/>
          <w:lang w:val="it-IT"/>
        </w:rPr>
        <w:t xml:space="preserve"> (dwa dni robocze)</w:t>
      </w:r>
      <w:r w:rsidRPr="00C24824">
        <w:rPr>
          <w:rFonts w:ascii="Arial" w:hAnsi="Arial" w:cs="Arial"/>
          <w:lang w:val="it-IT"/>
        </w:rPr>
        <w:t>, od zamówienia złożonego za pośrednictwem poczty elektronicznej e-mail (pod warunkiem złożenia zamówienia do godziny 14:00) przez pracownika apteki (od poniedziałku do piątku 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445355E5"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minimum 12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 xml:space="preserve">czania produktów z terminem </w:t>
      </w:r>
      <w:r w:rsidR="00C24824" w:rsidRPr="00C24824">
        <w:rPr>
          <w:rFonts w:ascii="Arial" w:hAnsi="Arial" w:cs="Arial"/>
        </w:rPr>
        <w:lastRenderedPageBreak/>
        <w:t>ważności krótszym niż wymagany za każdorazową, uprzednią, pisemną zgodą upoważnionego przez Zamawiającego pracownika Apteki Szpitalnej</w:t>
      </w:r>
      <w:r w:rsidR="00C24824">
        <w:rPr>
          <w:rFonts w:ascii="Arial" w:hAnsi="Arial" w:cs="Arial"/>
        </w:rPr>
        <w:t xml:space="preserve">. </w:t>
      </w:r>
    </w:p>
    <w:p w14:paraId="727BA44C" w14:textId="48036AA9"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C24824">
        <w:rPr>
          <w:rFonts w:ascii="Arial" w:hAnsi="Arial" w:cs="Arial"/>
          <w:b/>
          <w:bCs/>
          <w:color w:val="000000"/>
        </w:rPr>
        <w:t>3</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2AA16438" w14:textId="79A6BFBE" w:rsidR="001A1AB9" w:rsidRPr="001A1AB9"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C24824">
        <w:rPr>
          <w:rFonts w:ascii="Arial" w:hAnsi="Arial" w:cs="Arial"/>
          <w:b/>
          <w:bCs/>
          <w:color w:val="000000"/>
        </w:rPr>
        <w:t>3</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 xml:space="preserve">(od poniedziałku do piątku z wyłączeniem dni ustawowo wolnych od pracy) od daty zgłoszenia wiadomością e-mail. </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61DFE129" w14:textId="77777777" w:rsidR="00E51AA5" w:rsidRPr="00E51AA5" w:rsidRDefault="00E51AA5" w:rsidP="00E51AA5">
      <w:pPr>
        <w:pStyle w:val="Akapitzlist"/>
        <w:widowControl w:val="0"/>
        <w:spacing w:line="360" w:lineRule="auto"/>
        <w:ind w:right="33"/>
        <w:jc w:val="both"/>
        <w:rPr>
          <w:rFonts w:ascii="Arial" w:eastAsia="Lucida Sans Unicode" w:hAnsi="Arial" w:cs="Arial"/>
          <w:kern w:val="1"/>
          <w:lang w:eastAsia="hi-IN" w:bidi="hi-IN"/>
        </w:rPr>
      </w:pP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1"/>
  </w:num>
  <w:num w:numId="5">
    <w:abstractNumId w:val="4"/>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45F2E"/>
    <w:rsid w:val="00070E62"/>
    <w:rsid w:val="00071B83"/>
    <w:rsid w:val="000742B2"/>
    <w:rsid w:val="00097ECC"/>
    <w:rsid w:val="000D5D00"/>
    <w:rsid w:val="000E4EB0"/>
    <w:rsid w:val="00122140"/>
    <w:rsid w:val="001A1AB9"/>
    <w:rsid w:val="001E07B2"/>
    <w:rsid w:val="002179B7"/>
    <w:rsid w:val="0022121B"/>
    <w:rsid w:val="0025155C"/>
    <w:rsid w:val="002572A9"/>
    <w:rsid w:val="00306088"/>
    <w:rsid w:val="00343465"/>
    <w:rsid w:val="00357855"/>
    <w:rsid w:val="0036015D"/>
    <w:rsid w:val="00383492"/>
    <w:rsid w:val="00571792"/>
    <w:rsid w:val="005A753E"/>
    <w:rsid w:val="005F040A"/>
    <w:rsid w:val="00636FB0"/>
    <w:rsid w:val="006C19BD"/>
    <w:rsid w:val="007136D3"/>
    <w:rsid w:val="00747884"/>
    <w:rsid w:val="007537A4"/>
    <w:rsid w:val="007A77D4"/>
    <w:rsid w:val="007C0D25"/>
    <w:rsid w:val="00805A76"/>
    <w:rsid w:val="00812D1C"/>
    <w:rsid w:val="009131FF"/>
    <w:rsid w:val="00913317"/>
    <w:rsid w:val="00996B12"/>
    <w:rsid w:val="00A04542"/>
    <w:rsid w:val="00A1625C"/>
    <w:rsid w:val="00A8249C"/>
    <w:rsid w:val="00AB7A49"/>
    <w:rsid w:val="00AC712B"/>
    <w:rsid w:val="00AF79D6"/>
    <w:rsid w:val="00BC1A54"/>
    <w:rsid w:val="00C05890"/>
    <w:rsid w:val="00C24824"/>
    <w:rsid w:val="00D31EE6"/>
    <w:rsid w:val="00D45D1F"/>
    <w:rsid w:val="00DA1647"/>
    <w:rsid w:val="00DD4C94"/>
    <w:rsid w:val="00E51AA5"/>
    <w:rsid w:val="00E843E7"/>
    <w:rsid w:val="00EB078F"/>
    <w:rsid w:val="00F50B99"/>
    <w:rsid w:val="00FC766F"/>
    <w:rsid w:val="00FD0D43"/>
    <w:rsid w:val="00FD6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1036</Words>
  <Characters>6222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25</cp:revision>
  <dcterms:created xsi:type="dcterms:W3CDTF">2021-09-20T10:33:00Z</dcterms:created>
  <dcterms:modified xsi:type="dcterms:W3CDTF">2022-03-15T10:00:00Z</dcterms:modified>
</cp:coreProperties>
</file>