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45DCB" w:rsidP="00D45DCB">
      <w:pPr>
        <w:tabs>
          <w:tab w:val="left" w:pos="6150"/>
        </w:tabs>
        <w:spacing w:line="360" w:lineRule="auto"/>
        <w:rPr>
          <w:b/>
        </w:rPr>
      </w:pPr>
      <w:r>
        <w:rPr>
          <w:b/>
        </w:rPr>
        <w:tab/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105734" w:rsidRPr="00105734" w:rsidRDefault="00181CF5" w:rsidP="00105734">
      <w:pPr>
        <w:jc w:val="both"/>
        <w:rPr>
          <w:b/>
          <w:color w:val="002060"/>
        </w:rPr>
      </w:pPr>
      <w:r>
        <w:rPr>
          <w:b/>
          <w:color w:val="002060"/>
        </w:rPr>
        <w:t>D</w:t>
      </w:r>
      <w:r w:rsidR="001524F3" w:rsidRPr="00105734">
        <w:rPr>
          <w:b/>
          <w:color w:val="002060"/>
        </w:rPr>
        <w:t>ostawa wyposażenia na Wielki Jarmark Jarosławski realizowany w ramach projektu: „</w:t>
      </w:r>
      <w:proofErr w:type="spellStart"/>
      <w:r w:rsidR="001524F3" w:rsidRPr="00105734">
        <w:rPr>
          <w:b/>
          <w:color w:val="002060"/>
        </w:rPr>
        <w:t>JarosLove</w:t>
      </w:r>
      <w:proofErr w:type="spellEnd"/>
      <w:r w:rsidR="001524F3" w:rsidRPr="00105734">
        <w:rPr>
          <w:b/>
          <w:color w:val="002060"/>
        </w:rPr>
        <w:t xml:space="preserve">” – z miłości do ludzi: </w:t>
      </w:r>
      <w:bookmarkStart w:id="0" w:name="_GoBack"/>
      <w:bookmarkEnd w:id="0"/>
      <w:r w:rsidR="00606CBD">
        <w:rPr>
          <w:b/>
          <w:color w:val="002060"/>
        </w:rPr>
        <w:t>Mikroporty</w:t>
      </w:r>
      <w:r>
        <w:rPr>
          <w:b/>
          <w:color w:val="002060"/>
        </w:rPr>
        <w:t xml:space="preserve"> – </w:t>
      </w:r>
      <w:r w:rsidR="00606CBD">
        <w:rPr>
          <w:b/>
          <w:color w:val="002060"/>
        </w:rPr>
        <w:t>2 komplety.</w:t>
      </w:r>
    </w:p>
    <w:p w:rsidR="00105734" w:rsidRDefault="00105734" w:rsidP="001524F3">
      <w:pPr>
        <w:jc w:val="both"/>
        <w:rPr>
          <w:b/>
          <w:color w:val="002060"/>
        </w:rPr>
      </w:pP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7343EA">
      <w:pPr>
        <w:pStyle w:val="Akapitzlist"/>
        <w:numPr>
          <w:ilvl w:val="0"/>
          <w:numId w:val="74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7343E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7343EA" w:rsidRDefault="00A76E40" w:rsidP="0031465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A76E40" w:rsidRPr="0065325C" w:rsidRDefault="00A76E40" w:rsidP="007343E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E6352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7343E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563416" w:rsidRDefault="00902A15" w:rsidP="0056341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7343EA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7343EA">
      <w:pPr>
        <w:pStyle w:val="Akapitzlist"/>
        <w:numPr>
          <w:ilvl w:val="0"/>
          <w:numId w:val="74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A76E40" w:rsidP="00A76E40">
      <w:pPr>
        <w:spacing w:line="360" w:lineRule="auto"/>
        <w:jc w:val="both"/>
      </w:pPr>
    </w:p>
    <w:p w:rsidR="00964275" w:rsidRPr="00563416" w:rsidRDefault="00563416" w:rsidP="00563416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964275" w:rsidRPr="00563416" w:rsidSect="00964D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0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5B" w:rsidRDefault="0069585B">
      <w:r>
        <w:separator/>
      </w:r>
    </w:p>
  </w:endnote>
  <w:endnote w:type="continuationSeparator" w:id="0">
    <w:p w:rsidR="0069585B" w:rsidRDefault="0069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74E9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74E9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74E9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74E9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5B" w:rsidRDefault="0069585B">
      <w:r>
        <w:separator/>
      </w:r>
    </w:p>
  </w:footnote>
  <w:footnote w:type="continuationSeparator" w:id="0">
    <w:p w:rsidR="0069585B" w:rsidRDefault="0069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55" w:rsidRPr="00BE6879" w:rsidRDefault="00964D55" w:rsidP="00964D55">
    <w:pPr>
      <w:pStyle w:val="Nagwek"/>
      <w:tabs>
        <w:tab w:val="clear" w:pos="4536"/>
        <w:tab w:val="clear" w:pos="9072"/>
        <w:tab w:val="left" w:pos="3045"/>
      </w:tabs>
    </w:pPr>
    <w:r>
      <w:rPr>
        <w:noProof/>
        <w:lang w:val="pl-PL" w:eastAsia="pl-PL"/>
      </w:rPr>
      <w:drawing>
        <wp:anchor distT="0" distB="0" distL="114300" distR="114300" simplePos="0" relativeHeight="251664384" behindDoc="1" locked="0" layoutInCell="1" allowOverlap="1" wp14:anchorId="039B915E" wp14:editId="022464B8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964D55" w:rsidRDefault="00964D55" w:rsidP="00964D55">
    <w:pPr>
      <w:pStyle w:val="Nagwek"/>
    </w:pPr>
  </w:p>
  <w:p w:rsidR="0031465A" w:rsidRDefault="003146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CB" w:rsidRPr="00BE6879" w:rsidRDefault="00D45DCB" w:rsidP="00D45DCB">
    <w:pPr>
      <w:pStyle w:val="Nagwek"/>
      <w:tabs>
        <w:tab w:val="clear" w:pos="4536"/>
        <w:tab w:val="clear" w:pos="9072"/>
        <w:tab w:val="left" w:pos="3045"/>
      </w:tabs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453224E1" wp14:editId="2FBDAA86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563416" w:rsidRDefault="00563416" w:rsidP="00563416">
    <w:pPr>
      <w:pStyle w:val="Nagwek"/>
    </w:pPr>
  </w:p>
  <w:p w:rsidR="00D45DCB" w:rsidRDefault="00D45DCB" w:rsidP="00563416">
    <w:pPr>
      <w:pStyle w:val="Nagwek"/>
    </w:pPr>
  </w:p>
  <w:p w:rsidR="00D45DCB" w:rsidRDefault="00D45DCB" w:rsidP="00563416">
    <w:pPr>
      <w:pStyle w:val="Nagwek"/>
    </w:pPr>
  </w:p>
  <w:p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 xml:space="preserve">Załącznik nr </w:t>
    </w:r>
    <w:r w:rsidR="00480C43">
      <w:rPr>
        <w:rFonts w:ascii="Calibri" w:hAnsi="Calibri"/>
        <w:b/>
        <w:i/>
        <w:color w:val="385623"/>
        <w:sz w:val="20"/>
        <w:szCs w:val="20"/>
        <w:lang w:val="pl-PL"/>
      </w:rPr>
      <w:t>3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 xml:space="preserve"> do SWZ</w:t>
    </w:r>
  </w:p>
  <w:p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  <w:r w:rsidR="00335A93" w:rsidRPr="0065325C">
      <w:rPr>
        <w:rFonts w:ascii="Calibri" w:hAnsi="Calibri"/>
        <w:i/>
        <w:color w:val="385623"/>
        <w:sz w:val="20"/>
        <w:szCs w:val="20"/>
      </w:rPr>
      <w:t>P</w:t>
    </w:r>
    <w:r w:rsidRPr="0065325C">
      <w:rPr>
        <w:rFonts w:ascii="Calibri" w:hAnsi="Calibri"/>
        <w:i/>
        <w:color w:val="385623"/>
        <w:sz w:val="20"/>
        <w:szCs w:val="20"/>
      </w:rPr>
      <w:t>ostępowanie</w:t>
    </w:r>
    <w:r w:rsidR="00335A93" w:rsidRPr="0065325C">
      <w:rPr>
        <w:rFonts w:ascii="Calibri" w:hAnsi="Calibri"/>
        <w:i/>
        <w:color w:val="385623"/>
        <w:sz w:val="20"/>
        <w:szCs w:val="20"/>
        <w:lang w:val="pl-PL"/>
      </w:rPr>
      <w:t xml:space="preserve"> 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ZP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.271.1.</w:t>
    </w:r>
    <w:r w:rsidR="00A74E9E">
      <w:rPr>
        <w:rFonts w:ascii="Calibri" w:hAnsi="Calibri"/>
        <w:b/>
        <w:i/>
        <w:color w:val="385623"/>
        <w:sz w:val="20"/>
        <w:szCs w:val="20"/>
        <w:lang w:val="pl-PL"/>
      </w:rPr>
      <w:t>37</w:t>
    </w:r>
    <w:r w:rsidR="00555C9A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181CF5">
      <w:rPr>
        <w:rFonts w:ascii="Calibri" w:hAnsi="Calibri"/>
        <w:b/>
        <w:i/>
        <w:color w:val="385623"/>
        <w:sz w:val="20"/>
        <w:szCs w:val="20"/>
        <w:lang w:val="pl-PL"/>
      </w:rPr>
      <w:t>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3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0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1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80AA5"/>
    <w:multiLevelType w:val="hybridMultilevel"/>
    <w:tmpl w:val="367447AE"/>
    <w:lvl w:ilvl="0" w:tplc="A30EF9D0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2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3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2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3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4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5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0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6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2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3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4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6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7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8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1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2" w15:restartNumberingAfterBreak="0">
    <w:nsid w:val="7A27760F"/>
    <w:multiLevelType w:val="hybridMultilevel"/>
    <w:tmpl w:val="C04CC0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59"/>
  </w:num>
  <w:num w:numId="3">
    <w:abstractNumId w:val="25"/>
  </w:num>
  <w:num w:numId="4">
    <w:abstractNumId w:val="68"/>
  </w:num>
  <w:num w:numId="5">
    <w:abstractNumId w:val="53"/>
  </w:num>
  <w:num w:numId="6">
    <w:abstractNumId w:val="42"/>
  </w:num>
  <w:num w:numId="7">
    <w:abstractNumId w:val="65"/>
  </w:num>
  <w:num w:numId="8">
    <w:abstractNumId w:val="20"/>
  </w:num>
  <w:num w:numId="9">
    <w:abstractNumId w:val="47"/>
  </w:num>
  <w:num w:numId="10">
    <w:abstractNumId w:val="22"/>
  </w:num>
  <w:num w:numId="11">
    <w:abstractNumId w:val="44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</w:num>
  <w:num w:numId="14">
    <w:abstractNumId w:val="43"/>
  </w:num>
  <w:num w:numId="15">
    <w:abstractNumId w:val="37"/>
  </w:num>
  <w:num w:numId="16">
    <w:abstractNumId w:val="41"/>
  </w:num>
  <w:num w:numId="17">
    <w:abstractNumId w:val="10"/>
  </w:num>
  <w:num w:numId="18">
    <w:abstractNumId w:val="8"/>
  </w:num>
  <w:num w:numId="19">
    <w:abstractNumId w:val="70"/>
  </w:num>
  <w:num w:numId="20">
    <w:abstractNumId w:val="66"/>
  </w:num>
  <w:num w:numId="21">
    <w:abstractNumId w:val="61"/>
  </w:num>
  <w:num w:numId="22">
    <w:abstractNumId w:val="32"/>
  </w:num>
  <w:num w:numId="23">
    <w:abstractNumId w:val="31"/>
  </w:num>
  <w:num w:numId="24">
    <w:abstractNumId w:val="36"/>
  </w:num>
  <w:num w:numId="25">
    <w:abstractNumId w:val="14"/>
  </w:num>
  <w:num w:numId="26">
    <w:abstractNumId w:val="74"/>
  </w:num>
  <w:num w:numId="27">
    <w:abstractNumId w:val="38"/>
  </w:num>
  <w:num w:numId="28">
    <w:abstractNumId w:val="21"/>
  </w:num>
  <w:num w:numId="29">
    <w:abstractNumId w:val="52"/>
  </w:num>
  <w:num w:numId="3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</w:num>
  <w:num w:numId="32">
    <w:abstractNumId w:val="75"/>
  </w:num>
  <w:num w:numId="33">
    <w:abstractNumId w:val="16"/>
  </w:num>
  <w:num w:numId="34">
    <w:abstractNumId w:val="63"/>
  </w:num>
  <w:num w:numId="35">
    <w:abstractNumId w:val="17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2"/>
  </w:num>
  <w:num w:numId="39">
    <w:abstractNumId w:val="50"/>
  </w:num>
  <w:num w:numId="40">
    <w:abstractNumId w:val="67"/>
  </w:num>
  <w:num w:numId="41">
    <w:abstractNumId w:val="33"/>
  </w:num>
  <w:num w:numId="42">
    <w:abstractNumId w:val="56"/>
  </w:num>
  <w:num w:numId="43">
    <w:abstractNumId w:val="34"/>
  </w:num>
  <w:num w:numId="44">
    <w:abstractNumId w:val="60"/>
  </w:num>
  <w:num w:numId="45">
    <w:abstractNumId w:val="35"/>
  </w:num>
  <w:num w:numId="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  <w:num w:numId="50">
    <w:abstractNumId w:val="30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40"/>
  </w:num>
  <w:num w:numId="57">
    <w:abstractNumId w:val="15"/>
  </w:num>
  <w:num w:numId="58">
    <w:abstractNumId w:val="24"/>
  </w:num>
  <w:num w:numId="59">
    <w:abstractNumId w:val="13"/>
  </w:num>
  <w:num w:numId="60">
    <w:abstractNumId w:val="51"/>
  </w:num>
  <w:num w:numId="61">
    <w:abstractNumId w:val="48"/>
  </w:num>
  <w:num w:numId="62">
    <w:abstractNumId w:val="27"/>
  </w:num>
  <w:num w:numId="63">
    <w:abstractNumId w:val="54"/>
  </w:num>
  <w:num w:numId="64">
    <w:abstractNumId w:val="28"/>
  </w:num>
  <w:num w:numId="65">
    <w:abstractNumId w:val="45"/>
  </w:num>
  <w:num w:numId="66">
    <w:abstractNumId w:val="46"/>
  </w:num>
  <w:num w:numId="67">
    <w:abstractNumId w:val="49"/>
  </w:num>
  <w:num w:numId="68">
    <w:abstractNumId w:val="58"/>
  </w:num>
  <w:num w:numId="69">
    <w:abstractNumId w:val="69"/>
  </w:num>
  <w:num w:numId="70">
    <w:abstractNumId w:val="57"/>
  </w:num>
  <w:num w:numId="71">
    <w:abstractNumId w:val="3"/>
  </w:num>
  <w:num w:numId="72">
    <w:abstractNumId w:val="11"/>
  </w:num>
  <w:num w:numId="73">
    <w:abstractNumId w:val="64"/>
  </w:num>
  <w:num w:numId="74">
    <w:abstractNumId w:val="26"/>
  </w:num>
  <w:num w:numId="75">
    <w:abstractNumId w:val="72"/>
  </w:num>
  <w:num w:numId="76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74C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734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4F3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1CF5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1374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DAC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68D0"/>
    <w:rsid w:val="00467304"/>
    <w:rsid w:val="004674F4"/>
    <w:rsid w:val="00467533"/>
    <w:rsid w:val="00471B06"/>
    <w:rsid w:val="00473BB3"/>
    <w:rsid w:val="00474953"/>
    <w:rsid w:val="004778B2"/>
    <w:rsid w:val="00477D01"/>
    <w:rsid w:val="00480C43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416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5F7B45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06CBD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585B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5C1A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4D5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2966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0DE4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3952"/>
    <w:rsid w:val="00A74A3F"/>
    <w:rsid w:val="00A74E67"/>
    <w:rsid w:val="00A74E9E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2E4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85A71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5DCB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642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543B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352C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16B9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43C6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D6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0134-A38A-40EF-B864-83CE2C0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Giliciński</dc:creator>
  <cp:lastModifiedBy>Piotr Chrzan </cp:lastModifiedBy>
  <cp:revision>3</cp:revision>
  <cp:lastPrinted>2021-01-29T08:14:00Z</cp:lastPrinted>
  <dcterms:created xsi:type="dcterms:W3CDTF">2023-08-09T11:27:00Z</dcterms:created>
  <dcterms:modified xsi:type="dcterms:W3CDTF">2023-08-10T09:35:00Z</dcterms:modified>
</cp:coreProperties>
</file>