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w:t>
      </w:r>
      <w:proofErr w:type="spellStart"/>
      <w:r w:rsidR="002C33DB" w:rsidRPr="007349FF">
        <w:rPr>
          <w:b/>
          <w:bCs/>
        </w:rPr>
        <w:t>późn</w:t>
      </w:r>
      <w:proofErr w:type="spellEnd"/>
      <w:r w:rsidR="002C33DB" w:rsidRPr="007349FF">
        <w:rPr>
          <w:b/>
          <w:bCs/>
        </w:rPr>
        <w:t xml:space="preserve">. </w:t>
      </w:r>
      <w:proofErr w:type="spellStart"/>
      <w:r w:rsidR="002C33DB" w:rsidRPr="007349FF">
        <w:rPr>
          <w:b/>
          <w:bCs/>
        </w:rPr>
        <w:t>zm</w:t>
      </w:r>
      <w:proofErr w:type="spellEnd"/>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 xml:space="preserve">Uniwersytetu Łódzkiego przy ul. </w:t>
      </w:r>
      <w:proofErr w:type="spellStart"/>
      <w:r w:rsidRPr="00946B38">
        <w:rPr>
          <w:rFonts w:ascii="Times New Roman" w:hAnsi="Times New Roman" w:cs="Times New Roman"/>
          <w:b/>
          <w:bCs/>
          <w:sz w:val="24"/>
          <w:shd w:val="clear" w:color="auto" w:fill="FFFFFF"/>
        </w:rPr>
        <w:t>Styrskiej</w:t>
      </w:r>
      <w:proofErr w:type="spellEnd"/>
      <w:r w:rsidRPr="00946B38">
        <w:rPr>
          <w:rFonts w:ascii="Times New Roman" w:hAnsi="Times New Roman" w:cs="Times New Roman"/>
          <w:b/>
          <w:bCs/>
          <w:sz w:val="24"/>
          <w:shd w:val="clear" w:color="auto" w:fill="FFFFFF"/>
        </w:rPr>
        <w:t xml:space="preserve">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29B09" w14:textId="77777777" w:rsidR="00891399" w:rsidRPr="007349FF" w:rsidRDefault="0089139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0919D665"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891399">
        <w:rPr>
          <w:rFonts w:ascii="Times New Roman" w:hAnsi="Times New Roman" w:cs="Times New Roman"/>
          <w:b/>
          <w:bCs/>
          <w:sz w:val="22"/>
          <w:szCs w:val="22"/>
        </w:rPr>
        <w:t>grudzień</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891399"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w:t>
      </w:r>
      <w:proofErr w:type="spellStart"/>
      <w:r w:rsidR="00D77AC9" w:rsidRPr="00705069">
        <w:rPr>
          <w:rFonts w:ascii="Times New Roman" w:hAnsi="Times New Roman" w:cs="Times New Roman"/>
          <w:sz w:val="22"/>
          <w:szCs w:val="22"/>
        </w:rPr>
        <w:t>późn</w:t>
      </w:r>
      <w:proofErr w:type="spellEnd"/>
      <w:r w:rsidR="00D77AC9" w:rsidRPr="00705069">
        <w:rPr>
          <w:rFonts w:ascii="Times New Roman" w:hAnsi="Times New Roman" w:cs="Times New Roman"/>
          <w:sz w:val="22"/>
          <w:szCs w:val="22"/>
        </w:rPr>
        <w:t>.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w:t>
      </w:r>
      <w:proofErr w:type="spellStart"/>
      <w:r w:rsidRPr="007349FF">
        <w:rPr>
          <w:rFonts w:ascii="Times New Roman" w:hAnsi="Times New Roman" w:cs="Times New Roman"/>
          <w:sz w:val="22"/>
          <w:szCs w:val="22"/>
        </w:rPr>
        <w:t>późn</w:t>
      </w:r>
      <w:proofErr w:type="spellEnd"/>
      <w:r w:rsidRPr="007349FF">
        <w:rPr>
          <w:rFonts w:ascii="Times New Roman" w:hAnsi="Times New Roman" w:cs="Times New Roman"/>
          <w:sz w:val="22"/>
          <w:szCs w:val="22"/>
        </w:rPr>
        <w:t>.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349FF">
        <w:rPr>
          <w:rFonts w:ascii="Times New Roman" w:hAnsi="Times New Roman" w:cs="Times New Roman"/>
        </w:rPr>
        <w:t>t.j</w:t>
      </w:r>
      <w:proofErr w:type="spellEnd"/>
      <w:r w:rsidRPr="007349FF">
        <w:rPr>
          <w:rFonts w:ascii="Times New Roman" w:hAnsi="Times New Roman" w:cs="Times New Roman"/>
        </w:rPr>
        <w:t>.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 xml:space="preserve">rozbudowa budynku Centrum Wychowania Fizycznego i Sportu Uniwersytetu Łódzkiego przy ul. </w:t>
      </w:r>
      <w:proofErr w:type="spellStart"/>
      <w:r w:rsidR="00946B38" w:rsidRPr="005B15F3">
        <w:rPr>
          <w:rFonts w:ascii="Times New Roman" w:hAnsi="Times New Roman" w:cs="Times New Roman"/>
          <w:shd w:val="clear" w:color="auto" w:fill="FFFFFF"/>
        </w:rPr>
        <w:t>Styrskiej</w:t>
      </w:r>
      <w:proofErr w:type="spellEnd"/>
      <w:r w:rsidR="00946B38" w:rsidRPr="005B15F3">
        <w:rPr>
          <w:rFonts w:ascii="Times New Roman" w:hAnsi="Times New Roman" w:cs="Times New Roman"/>
          <w:shd w:val="clear" w:color="auto" w:fill="FFFFFF"/>
        </w:rPr>
        <w:t xml:space="preserve">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 xml:space="preserve">Budowa nowego budynku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 xml:space="preserve">zmocnienie podłoża istniejącej hali sportowej </w:t>
      </w:r>
      <w:proofErr w:type="spellStart"/>
      <w:r w:rsidR="00946B38" w:rsidRPr="005B15F3">
        <w:rPr>
          <w:rFonts w:ascii="Times New Roman" w:hAnsi="Times New Roman" w:cs="Times New Roman"/>
          <w:shd w:val="clear" w:color="auto" w:fill="FFFFFF"/>
        </w:rPr>
        <w:t>CWFiS</w:t>
      </w:r>
      <w:proofErr w:type="spellEnd"/>
      <w:r w:rsidR="00946B38" w:rsidRPr="005B15F3">
        <w:rPr>
          <w:rFonts w:ascii="Times New Roman" w:hAnsi="Times New Roman" w:cs="Times New Roman"/>
          <w:shd w:val="clear" w:color="auto" w:fill="FFFFFF"/>
        </w:rPr>
        <w:t xml:space="preserve">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 xml:space="preserve">e istniejącej hali sportowej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 xml:space="preserve">znajdującej się obok </w:t>
      </w:r>
      <w:proofErr w:type="spellStart"/>
      <w:r w:rsidRPr="005B15F3">
        <w:rPr>
          <w:rFonts w:ascii="Times New Roman" w:hAnsi="Times New Roman" w:cs="Times New Roman"/>
          <w:bCs/>
        </w:rPr>
        <w:t>CWFiS</w:t>
      </w:r>
      <w:proofErr w:type="spellEnd"/>
      <w:r w:rsidRPr="005B15F3">
        <w:rPr>
          <w:rFonts w:ascii="Times New Roman" w:hAnsi="Times New Roman" w:cs="Times New Roman"/>
          <w:bCs/>
        </w:rPr>
        <w:t xml:space="preserve">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Default="009B177A" w:rsidP="009B177A">
      <w:pPr>
        <w:ind w:left="567"/>
        <w:jc w:val="both"/>
        <w:rPr>
          <w:b/>
        </w:rPr>
      </w:pPr>
      <w:r w:rsidRPr="00C328D9">
        <w:rPr>
          <w:b/>
          <w:u w:val="single"/>
        </w:rPr>
        <w:t>Uwag</w:t>
      </w:r>
      <w:r w:rsidR="00491B6B" w:rsidRPr="00C328D9">
        <w:rPr>
          <w:b/>
          <w:u w:val="single"/>
        </w:rPr>
        <w:t>i</w:t>
      </w:r>
      <w:r w:rsidRPr="003822F1">
        <w:rPr>
          <w:b/>
        </w:rPr>
        <w:t xml:space="preserve">: </w:t>
      </w:r>
    </w:p>
    <w:p w14:paraId="25BDC9AF" w14:textId="77777777" w:rsidR="004B2C8B" w:rsidRPr="004B2C8B" w:rsidRDefault="004B2C8B" w:rsidP="009B177A">
      <w:pPr>
        <w:ind w:left="567"/>
        <w:jc w:val="both"/>
        <w:rPr>
          <w:b/>
          <w:sz w:val="10"/>
          <w:szCs w:val="10"/>
        </w:rPr>
      </w:pP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w:t>
      </w:r>
      <w:proofErr w:type="spellStart"/>
      <w:r w:rsidRPr="003822F1">
        <w:rPr>
          <w:rFonts w:ascii="Times New Roman" w:hAnsi="Times New Roman" w:cs="Times New Roman"/>
          <w:b/>
          <w:u w:val="single"/>
        </w:rPr>
        <w:t>Veolia</w:t>
      </w:r>
      <w:proofErr w:type="spellEnd"/>
      <w:r w:rsidRPr="003822F1">
        <w:rPr>
          <w:rFonts w:ascii="Times New Roman" w:hAnsi="Times New Roman" w:cs="Times New Roman"/>
          <w:b/>
          <w:u w:val="single"/>
        </w:rPr>
        <w:t xml:space="preserve">,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646AB233" w14:textId="777EB467" w:rsidR="00F8628F" w:rsidRPr="003A3F90" w:rsidRDefault="00C62BE5" w:rsidP="00491B6B">
      <w:pPr>
        <w:pStyle w:val="Akapitzlist"/>
        <w:numPr>
          <w:ilvl w:val="3"/>
          <w:numId w:val="1"/>
        </w:numPr>
        <w:ind w:left="1134"/>
        <w:jc w:val="both"/>
        <w:rPr>
          <w:rFonts w:ascii="Times New Roman" w:hAnsi="Times New Roman" w:cs="Times New Roman"/>
          <w:b/>
          <w:bCs/>
        </w:rPr>
      </w:pPr>
      <w:r w:rsidRPr="003A3F90">
        <w:rPr>
          <w:rFonts w:ascii="Times New Roman" w:hAnsi="Times New Roman" w:cs="Times New Roman"/>
          <w:b/>
        </w:rPr>
        <w:t xml:space="preserve">W związku z faktem podpisania przez Zamawiającego w dniu 22.11.2023 r. umowy na </w:t>
      </w:r>
      <w:r w:rsidR="00F31FB8" w:rsidRPr="003A3F90">
        <w:rPr>
          <w:rFonts w:ascii="Times New Roman" w:hAnsi="Times New Roman" w:cs="Times New Roman"/>
          <w:b/>
        </w:rPr>
        <w:t>rozbudowę</w:t>
      </w:r>
      <w:r w:rsidRPr="003A3F90">
        <w:rPr>
          <w:rFonts w:ascii="Times New Roman" w:hAnsi="Times New Roman" w:cs="Times New Roman"/>
          <w:b/>
        </w:rPr>
        <w:t xml:space="preserve"> instalacji fotowoltaicznych na budynkach Uniwersytetu Łódzkiego (etap II) oraz wynikającą z tego koniecznością przebudowy </w:t>
      </w:r>
      <w:r w:rsidR="009F2312" w:rsidRPr="003A3F90">
        <w:rPr>
          <w:rFonts w:ascii="Times New Roman" w:hAnsi="Times New Roman" w:cs="Times New Roman"/>
          <w:b/>
        </w:rPr>
        <w:t>przyłącza energetycznego</w:t>
      </w:r>
      <w:r w:rsidRPr="003A3F90">
        <w:rPr>
          <w:rFonts w:ascii="Times New Roman" w:hAnsi="Times New Roman" w:cs="Times New Roman"/>
          <w:b/>
        </w:rPr>
        <w:t xml:space="preserve"> przy ul. </w:t>
      </w:r>
      <w:proofErr w:type="spellStart"/>
      <w:r w:rsidRPr="003A3F90">
        <w:rPr>
          <w:rFonts w:ascii="Times New Roman" w:hAnsi="Times New Roman" w:cs="Times New Roman"/>
          <w:b/>
        </w:rPr>
        <w:t>Styrskiej</w:t>
      </w:r>
      <w:proofErr w:type="spellEnd"/>
      <w:r w:rsidR="00B978F1" w:rsidRPr="003A3F90">
        <w:rPr>
          <w:rFonts w:ascii="Times New Roman" w:hAnsi="Times New Roman" w:cs="Times New Roman"/>
          <w:b/>
        </w:rPr>
        <w:t>,</w:t>
      </w:r>
      <w:r w:rsidRPr="003A3F90">
        <w:rPr>
          <w:rFonts w:ascii="Times New Roman" w:hAnsi="Times New Roman" w:cs="Times New Roman"/>
          <w:b/>
        </w:rPr>
        <w:t xml:space="preserve"> </w:t>
      </w:r>
      <w:r w:rsidR="00F31FB8" w:rsidRPr="003A3F90">
        <w:rPr>
          <w:rFonts w:ascii="Times New Roman" w:hAnsi="Times New Roman" w:cs="Times New Roman"/>
          <w:b/>
        </w:rPr>
        <w:t xml:space="preserve">skutkującej </w:t>
      </w:r>
      <w:r w:rsidR="009F2312" w:rsidRPr="003A3F90">
        <w:rPr>
          <w:rFonts w:ascii="Times New Roman" w:hAnsi="Times New Roman" w:cs="Times New Roman"/>
          <w:b/>
        </w:rPr>
        <w:t>dostosowaniem do podłączenia instalacji fotowoltaicznej o</w:t>
      </w:r>
      <w:r w:rsidRPr="003A3F90">
        <w:rPr>
          <w:rFonts w:ascii="Times New Roman" w:hAnsi="Times New Roman" w:cs="Times New Roman"/>
          <w:b/>
        </w:rPr>
        <w:t xml:space="preserve"> moc</w:t>
      </w:r>
      <w:r w:rsidR="00F31FB8" w:rsidRPr="003A3F90">
        <w:rPr>
          <w:rFonts w:ascii="Times New Roman" w:hAnsi="Times New Roman" w:cs="Times New Roman"/>
          <w:b/>
        </w:rPr>
        <w:t>y</w:t>
      </w:r>
      <w:r w:rsidRPr="003A3F90">
        <w:rPr>
          <w:rFonts w:ascii="Times New Roman" w:hAnsi="Times New Roman" w:cs="Times New Roman"/>
          <w:b/>
        </w:rPr>
        <w:t xml:space="preserve"> powyżej </w:t>
      </w:r>
      <w:r w:rsidR="00C328D9" w:rsidRPr="003A3F90">
        <w:rPr>
          <w:rFonts w:ascii="Times New Roman" w:hAnsi="Times New Roman" w:cs="Times New Roman"/>
          <w:b/>
        </w:rPr>
        <w:t>50</w:t>
      </w:r>
      <w:r w:rsidRPr="003A3F90">
        <w:rPr>
          <w:rFonts w:ascii="Times New Roman" w:hAnsi="Times New Roman" w:cs="Times New Roman"/>
          <w:b/>
        </w:rPr>
        <w:t xml:space="preserve"> kW</w:t>
      </w:r>
      <w:r w:rsidR="00F31FB8" w:rsidRPr="003A3F90">
        <w:rPr>
          <w:rFonts w:ascii="Times New Roman" w:hAnsi="Times New Roman" w:cs="Times New Roman"/>
          <w:b/>
        </w:rPr>
        <w:t xml:space="preserve">, Wykonawca </w:t>
      </w:r>
      <w:r w:rsidR="00F31FB8" w:rsidRPr="003A3F90">
        <w:rPr>
          <w:rFonts w:ascii="Times New Roman" w:hAnsi="Times New Roman" w:cs="Times New Roman"/>
          <w:b/>
          <w:shd w:val="clear" w:color="auto" w:fill="FFFFFF"/>
        </w:rPr>
        <w:t xml:space="preserve">wybrany w wyniku rozstrzygnięcia niniejszego postępowania </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nr</w:t>
      </w:r>
      <w:r w:rsidR="00B978F1" w:rsidRPr="003A3F90">
        <w:rPr>
          <w:rFonts w:ascii="Times New Roman" w:hAnsi="Times New Roman" w:cs="Times New Roman"/>
          <w:b/>
          <w:shd w:val="clear" w:color="auto" w:fill="FFFFFF"/>
        </w:rPr>
        <w:t xml:space="preserve"> </w:t>
      </w:r>
      <w:r w:rsidR="00F31FB8" w:rsidRPr="003A3F90">
        <w:rPr>
          <w:rFonts w:ascii="Times New Roman" w:hAnsi="Times New Roman" w:cs="Times New Roman"/>
          <w:b/>
          <w:shd w:val="clear" w:color="auto" w:fill="FFFFFF"/>
        </w:rPr>
        <w:t>27/DIR/UŁ/2023</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 xml:space="preserve"> zobowiązany będzie do wystąpienia do PGE o warunki przyłączenia instalacji fotowoltaicznej</w:t>
      </w:r>
      <w:r w:rsidR="00F31FB8" w:rsidRPr="003A3F90">
        <w:rPr>
          <w:rFonts w:ascii="Times New Roman" w:hAnsi="Times New Roman" w:cs="Times New Roman"/>
          <w:b/>
        </w:rPr>
        <w:t xml:space="preserve"> przewidzianej do zainstalowania na rozbudowywanych obiektach </w:t>
      </w:r>
      <w:proofErr w:type="spellStart"/>
      <w:r w:rsidR="00F31FB8" w:rsidRPr="003A3F90">
        <w:rPr>
          <w:rFonts w:ascii="Times New Roman" w:hAnsi="Times New Roman" w:cs="Times New Roman"/>
          <w:b/>
        </w:rPr>
        <w:t>CWFiS</w:t>
      </w:r>
      <w:proofErr w:type="spellEnd"/>
      <w:r w:rsidR="00F31FB8" w:rsidRPr="003A3F90">
        <w:rPr>
          <w:rFonts w:ascii="Times New Roman" w:hAnsi="Times New Roman" w:cs="Times New Roman"/>
          <w:b/>
        </w:rPr>
        <w:t xml:space="preserve"> UŁ.</w:t>
      </w:r>
      <w:r w:rsidRPr="003A3F90">
        <w:rPr>
          <w:rFonts w:ascii="Times New Roman" w:hAnsi="Times New Roman" w:cs="Times New Roman"/>
          <w:b/>
        </w:rPr>
        <w:t xml:space="preserve"> </w:t>
      </w:r>
      <w:r w:rsidR="008F41EF" w:rsidRPr="003A3F90">
        <w:rPr>
          <w:rFonts w:ascii="Times New Roman" w:hAnsi="Times New Roman" w:cs="Times New Roman"/>
          <w:b/>
        </w:rPr>
        <w:br/>
      </w:r>
      <w:r w:rsidR="008F41EF" w:rsidRPr="003A3F90">
        <w:rPr>
          <w:rFonts w:ascii="Times New Roman" w:hAnsi="Times New Roman" w:cs="Times New Roman"/>
          <w:b/>
          <w:bCs/>
          <w:color w:val="242424"/>
          <w:shd w:val="clear" w:color="auto" w:fill="FFFFFF"/>
        </w:rPr>
        <w:t xml:space="preserve">Koszty związane z wystąpieniem z wnioskiem o wydanie warunków przyłączeniowych oraz ewentualne koszty związane z modernizacją GPZ określone przez PGE Dystrybucja S.A. są po stronie Zamawiającego. Natomiast koszty związane z przyłączeniem do sieci elektrycznej UŁ oraz dostosowanie montowanej instalacji PV do współpracy z siecią elektroenergetyczną są po stronie Wykonawcy. Instalacja winna spełniać wymagania dla właściwej kategorii określone w </w:t>
      </w:r>
      <w:proofErr w:type="spellStart"/>
      <w:r w:rsidR="008F41EF" w:rsidRPr="003A3F90">
        <w:rPr>
          <w:rFonts w:ascii="Times New Roman" w:hAnsi="Times New Roman" w:cs="Times New Roman"/>
          <w:b/>
          <w:bCs/>
          <w:color w:val="242424"/>
          <w:shd w:val="clear" w:color="auto" w:fill="FFFFFF"/>
        </w:rPr>
        <w:t>IRiESD</w:t>
      </w:r>
      <w:proofErr w:type="spellEnd"/>
      <w:r w:rsidR="008F41EF" w:rsidRPr="003A3F90">
        <w:rPr>
          <w:rFonts w:ascii="Times New Roman" w:hAnsi="Times New Roman" w:cs="Times New Roman"/>
          <w:b/>
          <w:bCs/>
          <w:color w:val="242424"/>
          <w:shd w:val="clear" w:color="auto" w:fill="FFFFFF"/>
        </w:rPr>
        <w:t xml:space="preserve"> obowiązujące </w:t>
      </w:r>
      <w:r w:rsidR="008F41EF" w:rsidRPr="003A3F90">
        <w:rPr>
          <w:rFonts w:ascii="Times New Roman" w:hAnsi="Times New Roman" w:cs="Times New Roman"/>
          <w:b/>
          <w:bCs/>
          <w:color w:val="242424"/>
          <w:shd w:val="clear" w:color="auto" w:fill="FFFFFF"/>
        </w:rPr>
        <w:lastRenderedPageBreak/>
        <w:t>w PGE Dystrybucja S.A. oraz „Wytycznych do budowy systemów elektroenergetycznych w PGE Dystrybucja S.A.”</w:t>
      </w:r>
      <w:r w:rsidR="005C2223" w:rsidRPr="003A3F90">
        <w:rPr>
          <w:rFonts w:ascii="Times New Roman" w:hAnsi="Times New Roman" w:cs="Times New Roman"/>
          <w:b/>
          <w:bCs/>
        </w:rPr>
        <w:t>.</w:t>
      </w:r>
    </w:p>
    <w:p w14:paraId="7D7856BF" w14:textId="45A5589E"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Zdemontowaną w czasie robót kostkę brukową z istniejącej drogi pożarowej należy zeskładować na paletach i przewieźć na teren Uniwersytetu Łódzkiego, znajdujący się w Łodzi przy ul. Pomorskiej 163.</w:t>
      </w:r>
    </w:p>
    <w:p w14:paraId="4D710A59" w14:textId="381F2069"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 xml:space="preserve">W zakresie realizacji są roboty naprawcze posadzek, ścian i sufitów, które uległy uszkodzeniu w wyniku osiadania budynku (dylatacje), a także roboty naprawcze po wykonaniu wzmocnienia podłoża w istniejącej części metodą Jet </w:t>
      </w:r>
      <w:proofErr w:type="spellStart"/>
      <w:r w:rsidRPr="003A3F90">
        <w:rPr>
          <w:rFonts w:ascii="Times New Roman" w:hAnsi="Times New Roman" w:cs="Times New Roman"/>
          <w:b/>
        </w:rPr>
        <w:t>Grouting</w:t>
      </w:r>
      <w:proofErr w:type="spellEnd"/>
      <w:r w:rsidRPr="003A3F90">
        <w:rPr>
          <w:rFonts w:ascii="Times New Roman" w:hAnsi="Times New Roman" w:cs="Times New Roman"/>
          <w:b/>
        </w:rPr>
        <w:t>.</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04ADE633" w:rsidR="003E2F3B" w:rsidRPr="00891399" w:rsidRDefault="001E0F23" w:rsidP="00E4746C">
      <w:pPr>
        <w:pStyle w:val="Akapitzlist"/>
        <w:numPr>
          <w:ilvl w:val="0"/>
          <w:numId w:val="68"/>
        </w:numPr>
        <w:ind w:left="567"/>
        <w:jc w:val="both"/>
        <w:rPr>
          <w:b/>
          <w:bCs/>
          <w:sz w:val="24"/>
          <w:szCs w:val="24"/>
        </w:rPr>
      </w:pPr>
      <w:r w:rsidRPr="00891399">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891399">
        <w:rPr>
          <w:rFonts w:ascii="Times New Roman" w:hAnsi="Times New Roman" w:cs="Times New Roman"/>
          <w:b/>
          <w:bCs/>
          <w:bdr w:val="none" w:sz="0" w:space="0" w:color="auto" w:frame="1"/>
          <w:shd w:val="clear" w:color="auto" w:fill="FFFFFF"/>
        </w:rPr>
        <w:t>.</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w:t>
      </w:r>
      <w:r w:rsidRPr="007349FF">
        <w:rPr>
          <w:sz w:val="22"/>
          <w:szCs w:val="22"/>
          <w:lang w:eastAsia="pl-PL"/>
        </w:rPr>
        <w:lastRenderedPageBreak/>
        <w:t xml:space="preserve">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lastRenderedPageBreak/>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D4443EA"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w:t>
      </w:r>
      <w:r w:rsidR="00891399">
        <w:rPr>
          <w:rFonts w:ascii="Times New Roman" w:hAnsi="Times New Roman" w:cs="Times New Roman"/>
          <w:b/>
          <w:bCs/>
          <w:sz w:val="22"/>
          <w:szCs w:val="22"/>
        </w:rPr>
        <w:t>9</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w:t>
      </w:r>
      <w:r w:rsidRPr="007349FF">
        <w:rPr>
          <w:sz w:val="22"/>
          <w:szCs w:val="22"/>
          <w:lang w:eastAsia="pl-PL"/>
        </w:rPr>
        <w:lastRenderedPageBreak/>
        <w:t xml:space="preserve">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w:t>
      </w:r>
      <w:r w:rsidRPr="007349FF">
        <w:rPr>
          <w:sz w:val="22"/>
          <w:szCs w:val="22"/>
        </w:rPr>
        <w:lastRenderedPageBreak/>
        <w:t xml:space="preserve">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 xml:space="preserve">120 z </w:t>
      </w:r>
      <w:proofErr w:type="spellStart"/>
      <w:r w:rsidR="009351BD">
        <w:rPr>
          <w:sz w:val="22"/>
          <w:szCs w:val="22"/>
        </w:rPr>
        <w:t>późn</w:t>
      </w:r>
      <w:proofErr w:type="spellEnd"/>
      <w:r w:rsidR="009351BD">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lastRenderedPageBreak/>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w:t>
      </w:r>
      <w:r w:rsidRPr="005B15F3">
        <w:rPr>
          <w:rFonts w:ascii="Times New Roman" w:hAnsi="Times New Roman" w:cs="Times New Roman"/>
        </w:rPr>
        <w:lastRenderedPageBreak/>
        <w:t>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w:t>
      </w:r>
      <w:r w:rsidRPr="007349FF">
        <w:rPr>
          <w:rFonts w:ascii="Times New Roman" w:hAnsi="Times New Roman" w:cs="Times New Roman"/>
          <w:sz w:val="22"/>
          <w:szCs w:val="22"/>
          <w:lang w:eastAsia="pl-PL"/>
        </w:rPr>
        <w:lastRenderedPageBreak/>
        <w:t xml:space="preserve">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w:t>
      </w:r>
      <w:proofErr w:type="spellStart"/>
      <w:r w:rsidR="00EE706B" w:rsidRPr="007349FF">
        <w:rPr>
          <w:rFonts w:ascii="Times New Roman" w:hAnsi="Times New Roman" w:cs="Times New Roman"/>
          <w:sz w:val="22"/>
          <w:szCs w:val="22"/>
          <w:lang w:eastAsia="pl-PL"/>
        </w:rPr>
        <w:t>późn</w:t>
      </w:r>
      <w:proofErr w:type="spellEnd"/>
      <w:r w:rsidR="00EE706B" w:rsidRPr="007349FF">
        <w:rPr>
          <w:rFonts w:ascii="Times New Roman" w:hAnsi="Times New Roman" w:cs="Times New Roman"/>
          <w:sz w:val="22"/>
          <w:szCs w:val="22"/>
          <w:lang w:eastAsia="pl-PL"/>
        </w:rPr>
        <w:t>.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lastRenderedPageBreak/>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lastRenderedPageBreak/>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w:t>
      </w:r>
      <w:r w:rsidR="008912FD" w:rsidRPr="007349FF">
        <w:rPr>
          <w:rFonts w:ascii="Times New Roman" w:hAnsi="Times New Roman" w:cs="Times New Roman"/>
          <w:kern w:val="1"/>
          <w:sz w:val="22"/>
          <w:szCs w:val="22"/>
          <w:lang w:eastAsia="ar-SA"/>
        </w:rPr>
        <w:lastRenderedPageBreak/>
        <w:t xml:space="preserve">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 xml:space="preserve">1689 z </w:t>
      </w:r>
      <w:proofErr w:type="spellStart"/>
      <w:r w:rsidR="00DA3D84">
        <w:rPr>
          <w:rFonts w:ascii="Times New Roman" w:hAnsi="Times New Roman" w:cs="Times New Roman"/>
          <w:bCs/>
          <w:sz w:val="22"/>
          <w:szCs w:val="22"/>
        </w:rPr>
        <w:t>późn</w:t>
      </w:r>
      <w:proofErr w:type="spellEnd"/>
      <w:r w:rsidR="00DA3D84">
        <w:rPr>
          <w:rFonts w:ascii="Times New Roman" w:hAnsi="Times New Roman" w:cs="Times New Roman"/>
          <w:bCs/>
          <w:sz w:val="22"/>
          <w:szCs w:val="22"/>
        </w:rPr>
        <w:t>.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lastRenderedPageBreak/>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w:t>
      </w:r>
      <w:proofErr w:type="spellStart"/>
      <w:r w:rsidR="001C0254" w:rsidRPr="007349FF">
        <w:rPr>
          <w:rFonts w:ascii="Times New Roman" w:hAnsi="Times New Roman" w:cs="Times New Roman"/>
          <w:sz w:val="22"/>
          <w:szCs w:val="22"/>
        </w:rPr>
        <w:t>późn</w:t>
      </w:r>
      <w:proofErr w:type="spellEnd"/>
      <w:r w:rsidR="001C0254" w:rsidRPr="007349FF">
        <w:rPr>
          <w:rFonts w:ascii="Times New Roman" w:hAnsi="Times New Roman" w:cs="Times New Roman"/>
          <w:sz w:val="22"/>
          <w:szCs w:val="22"/>
        </w:rPr>
        <w:t>.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r>
      <w:r w:rsidRPr="007349FF">
        <w:rPr>
          <w:position w:val="0"/>
          <w:sz w:val="22"/>
          <w:szCs w:val="22"/>
        </w:rPr>
        <w:lastRenderedPageBreak/>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lastRenderedPageBreak/>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lastRenderedPageBreak/>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 xml:space="preserve">mgr Anna </w:t>
      </w:r>
      <w:proofErr w:type="spellStart"/>
      <w:r w:rsidRPr="007349FF">
        <w:rPr>
          <w:rFonts w:ascii="Times New Roman" w:hAnsi="Times New Roman" w:cs="Times New Roman"/>
          <w:b/>
        </w:rPr>
        <w:t>Sochala</w:t>
      </w:r>
      <w:proofErr w:type="spellEnd"/>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stały dostęp do sieci Internet o gwarantowanej przepustowości nie mniejszej niż 512 </w:t>
      </w:r>
      <w:proofErr w:type="spellStart"/>
      <w:r w:rsidRPr="007349FF">
        <w:rPr>
          <w:rFonts w:ascii="Times New Roman" w:hAnsi="Times New Roman" w:cs="Times New Roman"/>
          <w:lang w:eastAsia="en-US"/>
        </w:rPr>
        <w:t>kb</w:t>
      </w:r>
      <w:proofErr w:type="spellEnd"/>
      <w:r w:rsidRPr="007349FF">
        <w:rPr>
          <w:rFonts w:ascii="Times New Roman" w:hAnsi="Times New Roman" w:cs="Times New Roman"/>
          <w:lang w:eastAsia="en-US"/>
        </w:rPr>
        <w:t>/s,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lastRenderedPageBreak/>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zainstalowany program Adobe </w:t>
      </w:r>
      <w:proofErr w:type="spellStart"/>
      <w:r w:rsidRPr="007349FF">
        <w:rPr>
          <w:rFonts w:ascii="Times New Roman" w:hAnsi="Times New Roman" w:cs="Times New Roman"/>
          <w:lang w:eastAsia="en-US"/>
        </w:rPr>
        <w:t>Acrobat</w:t>
      </w:r>
      <w:proofErr w:type="spellEnd"/>
      <w:r w:rsidRPr="007349FF">
        <w:rPr>
          <w:rFonts w:ascii="Times New Roman" w:hAnsi="Times New Roman" w:cs="Times New Roman"/>
          <w:lang w:eastAsia="en-US"/>
        </w:rPr>
        <w:t xml:space="preserve">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w:t>
      </w:r>
      <w:proofErr w:type="spellStart"/>
      <w:r w:rsidRPr="007349FF">
        <w:rPr>
          <w:rFonts w:ascii="Times New Roman" w:hAnsi="Times New Roman" w:cs="Times New Roman"/>
        </w:rPr>
        <w:t>hh:mm:ss</w:t>
      </w:r>
      <w:proofErr w:type="spellEnd"/>
      <w:r w:rsidRPr="007349FF">
        <w:rPr>
          <w:rFonts w:ascii="Times New Roman" w:hAnsi="Times New Roman" w:cs="Times New Roman"/>
        </w:rPr>
        <w:t>)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7349FF">
        <w:rPr>
          <w:bCs/>
          <w:sz w:val="22"/>
          <w:szCs w:val="22"/>
          <w:lang w:eastAsia="pl-PL"/>
        </w:rPr>
        <w:t>t.j</w:t>
      </w:r>
      <w:proofErr w:type="spellEnd"/>
      <w:r w:rsidRPr="007349FF">
        <w:rPr>
          <w:bCs/>
          <w:sz w:val="22"/>
          <w:szCs w:val="22"/>
          <w:lang w:eastAsia="pl-PL"/>
        </w:rPr>
        <w:t>. Dz.U. z 2017</w:t>
      </w:r>
      <w:r w:rsidR="00B1248A" w:rsidRPr="007349FF">
        <w:rPr>
          <w:bCs/>
          <w:sz w:val="22"/>
          <w:szCs w:val="22"/>
          <w:lang w:eastAsia="pl-PL"/>
        </w:rPr>
        <w:t xml:space="preserve"> </w:t>
      </w:r>
      <w:r w:rsidRPr="007349FF">
        <w:rPr>
          <w:bCs/>
          <w:sz w:val="22"/>
          <w:szCs w:val="22"/>
          <w:lang w:eastAsia="pl-PL"/>
        </w:rPr>
        <w:t xml:space="preserve">r. poz. 2247 z </w:t>
      </w:r>
      <w:proofErr w:type="spellStart"/>
      <w:r w:rsidRPr="007349FF">
        <w:rPr>
          <w:bCs/>
          <w:sz w:val="22"/>
          <w:szCs w:val="22"/>
          <w:lang w:eastAsia="pl-PL"/>
        </w:rPr>
        <w:t>późn</w:t>
      </w:r>
      <w:proofErr w:type="spellEnd"/>
      <w:r w:rsidRPr="007349FF">
        <w:rPr>
          <w:bCs/>
          <w:sz w:val="22"/>
          <w:szCs w:val="22"/>
          <w:lang w:eastAsia="pl-PL"/>
        </w:rPr>
        <w:t xml:space="preserve">.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w:t>
      </w:r>
      <w:proofErr w:type="spellStart"/>
      <w:r w:rsidRPr="007349FF">
        <w:rPr>
          <w:sz w:val="22"/>
          <w:szCs w:val="22"/>
          <w:lang w:eastAsia="pl-PL"/>
        </w:rPr>
        <w:t>rar</w:t>
      </w:r>
      <w:proofErr w:type="spellEnd"/>
      <w:r w:rsidRPr="007349FF">
        <w:rPr>
          <w:sz w:val="22"/>
          <w:szCs w:val="22"/>
          <w:lang w:eastAsia="pl-PL"/>
        </w:rPr>
        <w:t xml:space="preserve"> .gif .</w:t>
      </w:r>
      <w:proofErr w:type="spellStart"/>
      <w:r w:rsidRPr="007349FF">
        <w:rPr>
          <w:sz w:val="22"/>
          <w:szCs w:val="22"/>
          <w:lang w:eastAsia="pl-PL"/>
        </w:rPr>
        <w:t>bmp</w:t>
      </w:r>
      <w:proofErr w:type="spellEnd"/>
      <w:r w:rsidRPr="007349FF">
        <w:rPr>
          <w:sz w:val="22"/>
          <w:szCs w:val="22"/>
          <w:lang w:eastAsia="pl-PL"/>
        </w:rPr>
        <w:t xml:space="preserve"> .</w:t>
      </w:r>
      <w:proofErr w:type="spellStart"/>
      <w:r w:rsidRPr="007349FF">
        <w:rPr>
          <w:sz w:val="22"/>
          <w:szCs w:val="22"/>
          <w:lang w:eastAsia="pl-PL"/>
        </w:rPr>
        <w:t>numbers</w:t>
      </w:r>
      <w:proofErr w:type="spellEnd"/>
      <w:r w:rsidRPr="007349FF">
        <w:rPr>
          <w:sz w:val="22"/>
          <w:szCs w:val="22"/>
          <w:lang w:eastAsia="pl-PL"/>
        </w:rPr>
        <w:t xml:space="preserve"> .</w:t>
      </w:r>
      <w:proofErr w:type="spellStart"/>
      <w:r w:rsidRPr="007349FF">
        <w:rPr>
          <w:sz w:val="22"/>
          <w:szCs w:val="22"/>
          <w:lang w:eastAsia="pl-PL"/>
        </w:rPr>
        <w:t>pages</w:t>
      </w:r>
      <w:proofErr w:type="spellEnd"/>
      <w:r w:rsidRPr="007349FF">
        <w:rPr>
          <w:sz w:val="22"/>
          <w:szCs w:val="22"/>
          <w:lang w:eastAsia="pl-PL"/>
        </w:rPr>
        <w:t xml:space="preserve">.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w:t>
      </w:r>
      <w:r w:rsidRPr="007349FF">
        <w:rPr>
          <w:sz w:val="22"/>
          <w:szCs w:val="22"/>
        </w:rPr>
        <w:lastRenderedPageBreak/>
        <w:t>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lastRenderedPageBreak/>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30AFEBC7"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891399">
        <w:rPr>
          <w:rFonts w:ascii="Times New Roman" w:hAnsi="Times New Roman" w:cs="Times New Roman"/>
          <w:b/>
          <w:bCs/>
          <w:sz w:val="22"/>
          <w:szCs w:val="22"/>
        </w:rPr>
        <w:t>22</w:t>
      </w:r>
      <w:r w:rsidR="000843E5">
        <w:rPr>
          <w:rFonts w:ascii="Times New Roman" w:hAnsi="Times New Roman" w:cs="Times New Roman"/>
          <w:b/>
          <w:bCs/>
          <w:sz w:val="22"/>
          <w:szCs w:val="22"/>
        </w:rPr>
        <w:t>.0</w:t>
      </w:r>
      <w:r w:rsidR="00891399">
        <w:rPr>
          <w:rFonts w:ascii="Times New Roman" w:hAnsi="Times New Roman" w:cs="Times New Roman"/>
          <w:b/>
          <w:bCs/>
          <w:sz w:val="22"/>
          <w:szCs w:val="22"/>
        </w:rPr>
        <w:t>2</w:t>
      </w:r>
      <w:r w:rsidR="000843E5">
        <w:rPr>
          <w:rFonts w:ascii="Times New Roman" w:hAnsi="Times New Roman" w:cs="Times New Roman"/>
          <w:b/>
          <w:bCs/>
          <w:sz w:val="22"/>
          <w:szCs w:val="22"/>
        </w:rPr>
        <w:t>.2024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napToGrid w:val="0"/>
          <w:kern w:val="20"/>
        </w:rPr>
        <w:t>eIDAS</w:t>
      </w:r>
      <w:proofErr w:type="spellEnd"/>
      <w:r w:rsidRPr="007349FF">
        <w:rPr>
          <w:rFonts w:ascii="Times New Roman" w:hAnsi="Times New Roman" w:cs="Times New Roman"/>
          <w:snapToGrid w:val="0"/>
          <w:kern w:val="20"/>
        </w:rPr>
        <w:t>)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 xml:space="preserve">W przypadku wykorzystania formatu podpisu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lastRenderedPageBreak/>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lastRenderedPageBreak/>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z w:val="22"/>
          <w:szCs w:val="22"/>
          <w:lang w:eastAsia="pl-PL"/>
        </w:rPr>
        <w:t>eIDAS</w:t>
      </w:r>
      <w:proofErr w:type="spellEnd"/>
      <w:r w:rsidRPr="007349FF">
        <w:rPr>
          <w:rFonts w:ascii="Times New Roman" w:hAnsi="Times New Roman" w:cs="Times New Roman"/>
          <w:sz w:val="22"/>
          <w:szCs w:val="22"/>
          <w:lang w:eastAsia="pl-PL"/>
        </w:rPr>
        <w:t>)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W przypadku wykorzystania formatu podpisu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 xml:space="preserve">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występują: .</w:t>
      </w:r>
      <w:proofErr w:type="spellStart"/>
      <w:r w:rsidRPr="007349FF">
        <w:rPr>
          <w:rFonts w:eastAsia="Calibri"/>
          <w:sz w:val="22"/>
          <w:szCs w:val="22"/>
        </w:rPr>
        <w:t>rar</w:t>
      </w:r>
      <w:proofErr w:type="spellEnd"/>
      <w:r w:rsidRPr="007349FF">
        <w:rPr>
          <w:rFonts w:eastAsia="Calibri"/>
          <w:sz w:val="22"/>
          <w:szCs w:val="22"/>
        </w:rPr>
        <w:t xml:space="preserve"> .gif .</w:t>
      </w:r>
      <w:proofErr w:type="spellStart"/>
      <w:r w:rsidRPr="007349FF">
        <w:rPr>
          <w:rFonts w:eastAsia="Calibri"/>
          <w:sz w:val="22"/>
          <w:szCs w:val="22"/>
        </w:rPr>
        <w:t>bmp</w:t>
      </w:r>
      <w:proofErr w:type="spellEnd"/>
      <w:r w:rsidRPr="007349FF">
        <w:rPr>
          <w:rFonts w:eastAsia="Calibri"/>
          <w:sz w:val="22"/>
          <w:szCs w:val="22"/>
        </w:rPr>
        <w:t xml:space="preserve"> .</w:t>
      </w:r>
      <w:proofErr w:type="spellStart"/>
      <w:r w:rsidRPr="007349FF">
        <w:rPr>
          <w:rFonts w:eastAsia="Calibri"/>
          <w:sz w:val="22"/>
          <w:szCs w:val="22"/>
        </w:rPr>
        <w:t>numbers</w:t>
      </w:r>
      <w:proofErr w:type="spellEnd"/>
      <w:r w:rsidRPr="007349FF">
        <w:rPr>
          <w:rFonts w:eastAsia="Calibri"/>
          <w:sz w:val="22"/>
          <w:szCs w:val="22"/>
        </w:rPr>
        <w:t xml:space="preserve"> .</w:t>
      </w:r>
      <w:proofErr w:type="spellStart"/>
      <w:r w:rsidRPr="007349FF">
        <w:rPr>
          <w:rFonts w:eastAsia="Calibri"/>
          <w:sz w:val="22"/>
          <w:szCs w:val="22"/>
        </w:rPr>
        <w:t>pages</w:t>
      </w:r>
      <w:proofErr w:type="spellEnd"/>
      <w:r w:rsidRPr="007349FF">
        <w:rPr>
          <w:rFonts w:eastAsia="Calibri"/>
          <w:sz w:val="22"/>
          <w:szCs w:val="22"/>
        </w:rPr>
        <w:t xml:space="preserve">.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w:t>
      </w:r>
      <w:proofErr w:type="spellStart"/>
      <w:r w:rsidRPr="007349FF">
        <w:rPr>
          <w:rFonts w:eastAsia="Calibri"/>
          <w:snapToGrid w:val="0"/>
          <w:kern w:val="20"/>
          <w:sz w:val="22"/>
          <w:szCs w:val="22"/>
        </w:rPr>
        <w:t>doc</w:t>
      </w:r>
      <w:proofErr w:type="spellEnd"/>
      <w:r w:rsidRPr="007349FF">
        <w:rPr>
          <w:rFonts w:eastAsia="Calibri"/>
          <w:snapToGrid w:val="0"/>
          <w:kern w:val="20"/>
          <w:sz w:val="22"/>
          <w:szCs w:val="22"/>
        </w:rPr>
        <w:t xml:space="preserve"> .</w:t>
      </w:r>
      <w:proofErr w:type="spellStart"/>
      <w:r w:rsidRPr="007349FF">
        <w:rPr>
          <w:rFonts w:eastAsia="Calibri"/>
          <w:snapToGrid w:val="0"/>
          <w:kern w:val="20"/>
          <w:sz w:val="22"/>
          <w:szCs w:val="22"/>
        </w:rPr>
        <w:t>docx</w:t>
      </w:r>
      <w:proofErr w:type="spellEnd"/>
      <w:r w:rsidRPr="007349FF">
        <w:rPr>
          <w:rFonts w:eastAsia="Calibri"/>
          <w:snapToGrid w:val="0"/>
          <w:kern w:val="20"/>
          <w:sz w:val="22"/>
          <w:szCs w:val="22"/>
        </w:rPr>
        <w:t xml:space="preserve"> .xls .</w:t>
      </w:r>
      <w:proofErr w:type="spellStart"/>
      <w:r w:rsidRPr="007349FF">
        <w:rPr>
          <w:rFonts w:eastAsia="Calibri"/>
          <w:snapToGrid w:val="0"/>
          <w:kern w:val="20"/>
          <w:sz w:val="22"/>
          <w:szCs w:val="22"/>
        </w:rPr>
        <w:t>xlsx</w:t>
      </w:r>
      <w:proofErr w:type="spellEnd"/>
      <w:r w:rsidRPr="007349FF">
        <w:rPr>
          <w:rFonts w:eastAsia="Calibri"/>
          <w:snapToGrid w:val="0"/>
          <w:kern w:val="20"/>
          <w:sz w:val="22"/>
          <w:szCs w:val="22"/>
        </w:rPr>
        <w:t xml:space="preserve"> .jpg (.</w:t>
      </w:r>
      <w:proofErr w:type="spellStart"/>
      <w:r w:rsidRPr="007349FF">
        <w:rPr>
          <w:rFonts w:eastAsia="Calibri"/>
          <w:snapToGrid w:val="0"/>
          <w:kern w:val="20"/>
          <w:sz w:val="22"/>
          <w:szCs w:val="22"/>
        </w:rPr>
        <w:t>jpeg</w:t>
      </w:r>
      <w:proofErr w:type="spellEnd"/>
      <w:r w:rsidRPr="007349FF">
        <w:rPr>
          <w:rFonts w:eastAsia="Calibri"/>
          <w:snapToGrid w:val="0"/>
          <w:kern w:val="20"/>
          <w:sz w:val="22"/>
          <w:szCs w:val="22"/>
        </w:rPr>
        <w:t xml:space="preserve">)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7349FF">
        <w:rPr>
          <w:rFonts w:eastAsia="Calibri"/>
          <w:snapToGrid w:val="0"/>
          <w:kern w:val="20"/>
          <w:sz w:val="22"/>
          <w:szCs w:val="22"/>
        </w:rPr>
        <w:t>eDoApp</w:t>
      </w:r>
      <w:proofErr w:type="spellEnd"/>
      <w:r w:rsidRPr="007349FF">
        <w:rPr>
          <w:rFonts w:eastAsia="Calibri"/>
          <w:snapToGrid w:val="0"/>
          <w:kern w:val="20"/>
          <w:sz w:val="22"/>
          <w:szCs w:val="22"/>
        </w:rPr>
        <w:t xml:space="preserve">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lastRenderedPageBreak/>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7349FF">
        <w:rPr>
          <w:rFonts w:eastAsia="Calibri"/>
          <w:b/>
          <w:bCs/>
          <w:snapToGrid w:val="0"/>
          <w:kern w:val="20"/>
          <w:sz w:val="22"/>
          <w:szCs w:val="22"/>
        </w:rPr>
        <w:t>PAdES</w:t>
      </w:r>
      <w:proofErr w:type="spellEnd"/>
      <w:r w:rsidRPr="007349FF">
        <w:rPr>
          <w:rFonts w:eastAsia="Calibri"/>
          <w:b/>
          <w:bCs/>
          <w:snapToGrid w:val="0"/>
          <w:kern w:val="20"/>
          <w:sz w:val="22"/>
          <w:szCs w:val="22"/>
        </w:rPr>
        <w:t xml:space="preserve">.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 xml:space="preserve">zaleca się opatrzyć podpisem w formacie </w:t>
      </w:r>
      <w:proofErr w:type="spellStart"/>
      <w:r w:rsidRPr="007349FF">
        <w:rPr>
          <w:rFonts w:eastAsia="Calibri"/>
          <w:b/>
          <w:bCs/>
          <w:snapToGrid w:val="0"/>
          <w:kern w:val="20"/>
          <w:sz w:val="22"/>
          <w:szCs w:val="22"/>
        </w:rPr>
        <w:t>XAdES</w:t>
      </w:r>
      <w:proofErr w:type="spellEnd"/>
      <w:r w:rsidRPr="007349FF">
        <w:rPr>
          <w:rFonts w:eastAsia="Calibri"/>
          <w:b/>
          <w:bCs/>
          <w:snapToGrid w:val="0"/>
          <w:kern w:val="20"/>
          <w:sz w:val="22"/>
          <w:szCs w:val="22"/>
        </w:rPr>
        <w:t xml:space="preserve">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w:t>
      </w:r>
      <w:r w:rsidRPr="007349FF">
        <w:rPr>
          <w:rFonts w:ascii="Times New Roman" w:hAnsi="Times New Roman" w:cs="Times New Roman"/>
          <w:sz w:val="22"/>
          <w:szCs w:val="22"/>
        </w:rPr>
        <w:lastRenderedPageBreak/>
        <w:t>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894FC5D"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891399">
        <w:rPr>
          <w:rFonts w:ascii="Times New Roman" w:hAnsi="Times New Roman" w:cs="Times New Roman"/>
          <w:b/>
          <w:bCs/>
          <w:sz w:val="22"/>
          <w:szCs w:val="22"/>
        </w:rPr>
        <w:t>24</w:t>
      </w:r>
      <w:r w:rsidR="00582A40" w:rsidRPr="00582A40">
        <w:rPr>
          <w:rFonts w:ascii="Times New Roman" w:hAnsi="Times New Roman" w:cs="Times New Roman"/>
          <w:b/>
          <w:bCs/>
          <w:sz w:val="22"/>
          <w:szCs w:val="22"/>
        </w:rPr>
        <w:t xml:space="preserve"> </w:t>
      </w:r>
      <w:r w:rsidR="00891399">
        <w:rPr>
          <w:rFonts w:ascii="Times New Roman" w:hAnsi="Times New Roman" w:cs="Times New Roman"/>
          <w:b/>
          <w:bCs/>
          <w:sz w:val="22"/>
          <w:szCs w:val="22"/>
        </w:rPr>
        <w:t>stycznia</w:t>
      </w:r>
      <w:r w:rsidR="00582A40" w:rsidRPr="00582A40">
        <w:rPr>
          <w:rFonts w:ascii="Times New Roman" w:hAnsi="Times New Roman" w:cs="Times New Roman"/>
          <w:b/>
          <w:bCs/>
          <w:sz w:val="22"/>
          <w:szCs w:val="22"/>
        </w:rPr>
        <w:t xml:space="preserve"> </w:t>
      </w:r>
      <w:r w:rsidRPr="00582A40">
        <w:rPr>
          <w:rFonts w:ascii="Times New Roman" w:hAnsi="Times New Roman" w:cs="Times New Roman"/>
          <w:b/>
          <w:bCs/>
          <w:sz w:val="22"/>
          <w:szCs w:val="22"/>
        </w:rPr>
        <w:t>202</w:t>
      </w:r>
      <w:r w:rsidR="00891399">
        <w:rPr>
          <w:rFonts w:ascii="Times New Roman" w:hAnsi="Times New Roman" w:cs="Times New Roman"/>
          <w:b/>
          <w:bCs/>
          <w:sz w:val="22"/>
          <w:szCs w:val="22"/>
        </w:rPr>
        <w:t>4</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34D95122"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891399">
        <w:rPr>
          <w:rFonts w:ascii="Times New Roman" w:hAnsi="Times New Roman" w:cs="Times New Roman"/>
          <w:b/>
          <w:bCs/>
          <w:sz w:val="22"/>
          <w:szCs w:val="22"/>
        </w:rPr>
        <w:t>24</w:t>
      </w:r>
      <w:r w:rsidR="00891399" w:rsidRPr="00582A40">
        <w:rPr>
          <w:rFonts w:ascii="Times New Roman" w:hAnsi="Times New Roman" w:cs="Times New Roman"/>
          <w:b/>
          <w:bCs/>
          <w:sz w:val="22"/>
          <w:szCs w:val="22"/>
        </w:rPr>
        <w:t xml:space="preserve"> </w:t>
      </w:r>
      <w:r w:rsidR="00891399">
        <w:rPr>
          <w:rFonts w:ascii="Times New Roman" w:hAnsi="Times New Roman" w:cs="Times New Roman"/>
          <w:b/>
          <w:bCs/>
          <w:sz w:val="22"/>
          <w:szCs w:val="22"/>
        </w:rPr>
        <w:t>stycznia</w:t>
      </w:r>
      <w:r w:rsidR="00891399" w:rsidRPr="00582A40">
        <w:rPr>
          <w:rFonts w:ascii="Times New Roman" w:hAnsi="Times New Roman" w:cs="Times New Roman"/>
          <w:b/>
          <w:bCs/>
          <w:sz w:val="22"/>
          <w:szCs w:val="22"/>
        </w:rPr>
        <w:t xml:space="preserve"> 202</w:t>
      </w:r>
      <w:r w:rsidR="00891399">
        <w:rPr>
          <w:rFonts w:ascii="Times New Roman" w:hAnsi="Times New Roman" w:cs="Times New Roman"/>
          <w:b/>
          <w:bCs/>
          <w:sz w:val="22"/>
          <w:szCs w:val="22"/>
        </w:rPr>
        <w:t>4</w:t>
      </w:r>
      <w:r w:rsidR="00891399" w:rsidRPr="00582A40">
        <w:rPr>
          <w:rFonts w:ascii="Times New Roman" w:hAnsi="Times New Roman" w:cs="Times New Roman"/>
          <w:b/>
          <w:bCs/>
          <w:sz w:val="22"/>
          <w:szCs w:val="22"/>
        </w:rPr>
        <w:t xml:space="preserve"> r.</w:t>
      </w:r>
      <w:r w:rsidR="00891399"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lastRenderedPageBreak/>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94608B8"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w:t>
      </w:r>
      <w:r w:rsidR="00891399">
        <w:rPr>
          <w:b/>
          <w:bCs/>
          <w:sz w:val="22"/>
          <w:szCs w:val="22"/>
        </w:rPr>
        <w:t>9</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zwraca wadium wniesione w pieniądzu wraz z odsetkami wynikającymi z umowy rachunku bankowego, na którym było ono przechowywane, pomniejszone o koszty prowadzenia </w:t>
      </w:r>
      <w:r w:rsidRPr="007349FF">
        <w:rPr>
          <w:rFonts w:ascii="Times New Roman" w:hAnsi="Times New Roman" w:cs="Times New Roman"/>
          <w:lang w:eastAsia="pl-PL"/>
        </w:rPr>
        <w:lastRenderedPageBreak/>
        <w:t>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62CBFE6C" w:rsidR="00AF787F" w:rsidRPr="003A2012" w:rsidRDefault="003A2012" w:rsidP="00E4746C">
      <w:pPr>
        <w:pStyle w:val="Tekstpodstawowy"/>
        <w:numPr>
          <w:ilvl w:val="6"/>
          <w:numId w:val="40"/>
        </w:numPr>
        <w:overflowPunct/>
        <w:autoSpaceDE/>
        <w:spacing w:line="276" w:lineRule="auto"/>
        <w:ind w:left="567"/>
        <w:textAlignment w:val="auto"/>
        <w:rPr>
          <w:position w:val="0"/>
          <w:sz w:val="22"/>
          <w:szCs w:val="22"/>
          <w:highlight w:val="yellow"/>
        </w:rPr>
      </w:pPr>
      <w:r w:rsidRPr="00825726">
        <w:rPr>
          <w:position w:val="0"/>
          <w:sz w:val="22"/>
          <w:szCs w:val="22"/>
        </w:rPr>
        <w:t xml:space="preserve">Podstawą do wyceny oferty jest dokumentacja projektowa. </w:t>
      </w:r>
      <w:r w:rsidR="00AF787F" w:rsidRPr="00825726">
        <w:rPr>
          <w:position w:val="0"/>
          <w:sz w:val="22"/>
          <w:szCs w:val="22"/>
        </w:rPr>
        <w:t xml:space="preserve">Cena oferty winna obejmować wszystkie koszty związane z wykonaniem przedmiotu zamówienia </w:t>
      </w:r>
      <w:r w:rsidRPr="00825726">
        <w:rPr>
          <w:position w:val="0"/>
          <w:sz w:val="22"/>
          <w:szCs w:val="22"/>
        </w:rPr>
        <w:t xml:space="preserve">(w tym nie ujęte w załączonych </w:t>
      </w:r>
      <w:r w:rsidR="00C654D1" w:rsidRPr="00825726">
        <w:rPr>
          <w:position w:val="0"/>
          <w:sz w:val="22"/>
          <w:szCs w:val="22"/>
        </w:rPr>
        <w:t>kosztorysach nakładczych/</w:t>
      </w:r>
      <w:r w:rsidRPr="00825726">
        <w:rPr>
          <w:position w:val="0"/>
          <w:sz w:val="22"/>
          <w:szCs w:val="22"/>
        </w:rPr>
        <w:t>przedmiarach</w:t>
      </w:r>
      <w:r w:rsidR="00C654D1" w:rsidRPr="00825726">
        <w:rPr>
          <w:position w:val="0"/>
          <w:sz w:val="22"/>
          <w:szCs w:val="22"/>
        </w:rPr>
        <w:t xml:space="preserve"> – patrz uwaga w pkt. III.7 SWZ</w:t>
      </w:r>
      <w:r w:rsidRPr="00825726">
        <w:rPr>
          <w:position w:val="0"/>
          <w:sz w:val="22"/>
          <w:szCs w:val="22"/>
        </w:rPr>
        <w:t>)</w:t>
      </w:r>
      <w:r>
        <w:rPr>
          <w:position w:val="0"/>
          <w:sz w:val="22"/>
          <w:szCs w:val="22"/>
        </w:rPr>
        <w:t xml:space="preserve"> </w:t>
      </w:r>
      <w:r w:rsidR="00AF787F"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proofErr w:type="spellStart"/>
      <w:r w:rsidR="00493AD1" w:rsidRPr="007349FF">
        <w:rPr>
          <w:position w:val="4"/>
          <w:sz w:val="22"/>
          <w:szCs w:val="22"/>
        </w:rPr>
        <w:t>t.j</w:t>
      </w:r>
      <w:proofErr w:type="spellEnd"/>
      <w:r w:rsidR="00493AD1" w:rsidRPr="007349FF">
        <w:rPr>
          <w:position w:val="4"/>
          <w:sz w:val="22"/>
          <w:szCs w:val="22"/>
        </w:rPr>
        <w:t xml:space="preserve">.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w:t>
      </w:r>
      <w:proofErr w:type="spellStart"/>
      <w:r w:rsidRPr="007349FF">
        <w:rPr>
          <w:position w:val="4"/>
          <w:sz w:val="22"/>
          <w:szCs w:val="22"/>
        </w:rPr>
        <w:t>późn</w:t>
      </w:r>
      <w:proofErr w:type="spellEnd"/>
      <w:r w:rsidRPr="007349F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w:t>
      </w:r>
      <w:r w:rsidRPr="007349FF">
        <w:rPr>
          <w:position w:val="4"/>
          <w:sz w:val="22"/>
          <w:szCs w:val="22"/>
        </w:rPr>
        <w:lastRenderedPageBreak/>
        <w:t xml:space="preserve">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xml:space="preserve">, z </w:t>
      </w:r>
      <w:proofErr w:type="spellStart"/>
      <w:r w:rsidRPr="007349FF">
        <w:rPr>
          <w:sz w:val="22"/>
          <w:szCs w:val="22"/>
        </w:rPr>
        <w:t>późn</w:t>
      </w:r>
      <w:proofErr w:type="spellEnd"/>
      <w:r w:rsidRPr="007349FF">
        <w:rPr>
          <w:sz w:val="22"/>
          <w:szCs w:val="22"/>
        </w:rPr>
        <w:t>.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 xml:space="preserve">o minimalnym wynagrodzeniu za pracę (Dz. U. z 2020 r. poz. 2207 z </w:t>
      </w:r>
      <w:proofErr w:type="spellStart"/>
      <w:r w:rsidRPr="007349FF">
        <w:rPr>
          <w:rFonts w:ascii="Times New Roman" w:hAnsi="Times New Roman" w:cs="Times New Roman"/>
        </w:rPr>
        <w:t>późn</w:t>
      </w:r>
      <w:proofErr w:type="spellEnd"/>
      <w:r w:rsidRPr="007349FF">
        <w:rPr>
          <w:rFonts w:ascii="Times New Roman" w:hAnsi="Times New Roman" w:cs="Times New Roman"/>
        </w:rPr>
        <w:t>.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lastRenderedPageBreak/>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r>
      <w:r w:rsidR="003902B6" w:rsidRPr="007349FF">
        <w:rPr>
          <w:rFonts w:ascii="Times New Roman" w:hAnsi="Times New Roman" w:cs="Times New Roman"/>
          <w:kern w:val="1"/>
        </w:rPr>
        <w:lastRenderedPageBreak/>
        <w:t xml:space="preserve">z uwzględnieniem wagi procentowej tego kryterium. </w:t>
      </w:r>
      <w:r w:rsidR="003902B6" w:rsidRPr="007349FF">
        <w:rPr>
          <w:rFonts w:ascii="Times New Roman" w:hAnsi="Times New Roman" w:cs="Times New Roman"/>
          <w:kern w:val="1"/>
          <w:u w:val="single"/>
        </w:rPr>
        <w:t>Maksymalna liczba możliwych do 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proofErr w:type="spellStart"/>
      <w:r w:rsidRPr="007349FF">
        <w:rPr>
          <w:kern w:val="1"/>
          <w:sz w:val="22"/>
          <w:szCs w:val="22"/>
          <w:vertAlign w:val="subscript"/>
          <w:lang w:val="de-DE"/>
        </w:rPr>
        <w:t>minimum</w:t>
      </w:r>
      <w:proofErr w:type="spellEnd"/>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 xml:space="preserve">C  =      -------------------   x   100 </w:t>
      </w:r>
      <w:proofErr w:type="spellStart"/>
      <w:r w:rsidRPr="007349FF">
        <w:rPr>
          <w:kern w:val="1"/>
          <w:sz w:val="22"/>
          <w:szCs w:val="22"/>
          <w:lang w:val="de-DE"/>
        </w:rPr>
        <w:t>p</w:t>
      </w:r>
      <w:r w:rsidR="00E01635" w:rsidRPr="007349FF">
        <w:rPr>
          <w:kern w:val="1"/>
          <w:sz w:val="22"/>
          <w:szCs w:val="22"/>
          <w:lang w:val="de-DE"/>
        </w:rPr>
        <w:t>kt.</w:t>
      </w:r>
      <w:proofErr w:type="spellEnd"/>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 xml:space="preserve">Minimalne warunki jakie powinna spełniać gwarancja to: wymiana wadliwej rzeczy na nową w okresie gwarancji, wymiana materiałów eksploatacyjnych urządzeń </w:t>
      </w:r>
      <w:r w:rsidRPr="007349FF">
        <w:rPr>
          <w:sz w:val="22"/>
          <w:szCs w:val="22"/>
          <w:lang w:eastAsia="pl-PL"/>
        </w:rPr>
        <w:lastRenderedPageBreak/>
        <w:t>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61C77596"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w:t>
      </w:r>
      <w:r w:rsidR="00891399">
        <w:rPr>
          <w:rFonts w:ascii="Times New Roman" w:hAnsi="Times New Roman" w:cs="Times New Roman"/>
          <w:b/>
          <w:bCs/>
          <w:sz w:val="22"/>
          <w:szCs w:val="22"/>
        </w:rPr>
        <w:t>9</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innej formie wnosi się na okres nie 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lastRenderedPageBreak/>
        <w:t xml:space="preserve">Przed zawarciem umowy </w:t>
      </w:r>
      <w:r w:rsidRPr="007349F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lastRenderedPageBreak/>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lastRenderedPageBreak/>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Pr="00891399" w:rsidRDefault="000B35AB"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Centrum Wychowania Fizycznego i Sportu Uniwersytetu Łódzkiego przy ul. </w:t>
      </w:r>
      <w:proofErr w:type="spellStart"/>
      <w:r w:rsidR="000B35AB">
        <w:rPr>
          <w:position w:val="6"/>
        </w:rPr>
        <w:t>Styrskiej</w:t>
      </w:r>
      <w:proofErr w:type="spellEnd"/>
      <w:r w:rsidR="000B35AB">
        <w:rPr>
          <w:position w:val="6"/>
        </w:rPr>
        <w:t xml:space="preserve">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 xml:space="preserve">Pani/Pana dane osobowe będą przechowywane, zgodnie z art. 78 ust. 1 i 4 ustawy </w:t>
      </w:r>
      <w:proofErr w:type="spellStart"/>
      <w:r w:rsidRPr="007349FF">
        <w:rPr>
          <w:rFonts w:ascii="Times New Roman" w:hAnsi="Times New Roman" w:cs="Times New Roman"/>
          <w:position w:val="6"/>
        </w:rPr>
        <w:t>Pzp</w:t>
      </w:r>
      <w:proofErr w:type="spellEnd"/>
      <w:r w:rsidRPr="007349F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lastRenderedPageBreak/>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t>
      </w:r>
      <w:proofErr w:type="spellStart"/>
      <w:r w:rsidRPr="007349FF">
        <w:rPr>
          <w:rFonts w:ascii="Times New Roman" w:hAnsi="Times New Roman" w:cs="Times New Roman"/>
        </w:rPr>
        <w:t>wył</w:t>
      </w:r>
      <w:r w:rsidR="00A4305C" w:rsidRPr="007349FF">
        <w:rPr>
          <w:rFonts w:ascii="Times New Roman" w:hAnsi="Times New Roman" w:cs="Times New Roman"/>
        </w:rPr>
        <w:t>ą</w:t>
      </w:r>
      <w:r w:rsidRPr="007349FF">
        <w:rPr>
          <w:rFonts w:ascii="Times New Roman" w:hAnsi="Times New Roman" w:cs="Times New Roman"/>
        </w:rPr>
        <w:t>czeń</w:t>
      </w:r>
      <w:proofErr w:type="spellEnd"/>
      <w:r w:rsidRPr="007349FF">
        <w:rPr>
          <w:rFonts w:ascii="Times New Roman" w:hAnsi="Times New Roman" w:cs="Times New Roman"/>
        </w:rPr>
        <w:t>,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Pr="00891399" w:rsidRDefault="000B35A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w:t>
      </w:r>
      <w:proofErr w:type="spellStart"/>
      <w:r w:rsidR="0024443C" w:rsidRPr="007349FF">
        <w:t>późn</w:t>
      </w:r>
      <w:proofErr w:type="spellEnd"/>
      <w:r w:rsidR="0024443C" w:rsidRPr="007349FF">
        <w:t>.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64547285"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w:t>
    </w:r>
    <w:r w:rsidR="00891399">
      <w:rPr>
        <w:rFonts w:ascii="Calibri" w:hAnsi="Calibri" w:cs="Calibri"/>
        <w:b/>
        <w:bCs/>
        <w:sz w:val="22"/>
        <w:szCs w:val="22"/>
      </w:rPr>
      <w:t>9</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FA158D7"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w:t>
    </w:r>
    <w:r w:rsidR="00891399">
      <w:rPr>
        <w:rFonts w:ascii="Calibri" w:hAnsi="Calibri" w:cs="Calibri"/>
        <w:b/>
        <w:bCs/>
        <w:sz w:val="22"/>
        <w:szCs w:val="22"/>
      </w:rPr>
      <w:t>9</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B16"/>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15639</Words>
  <Characters>93834</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2023-11-08T16:41:00Z</cp:lastPrinted>
  <dcterms:created xsi:type="dcterms:W3CDTF">2023-12-07T11:57:00Z</dcterms:created>
  <dcterms:modified xsi:type="dcterms:W3CDTF">2023-12-21T11:40:00Z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