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AA" w:rsidRDefault="00FB0BAA">
      <w:pPr>
        <w:rPr>
          <w:rFonts w:ascii="Arial" w:hAnsi="Arial"/>
          <w:b/>
          <w:color w:val="auto"/>
          <w:sz w:val="22"/>
          <w:szCs w:val="22"/>
        </w:rPr>
      </w:pPr>
    </w:p>
    <w:p w:rsidR="00EF3744" w:rsidRDefault="00EF3744">
      <w:pPr>
        <w:jc w:val="center"/>
        <w:rPr>
          <w:rFonts w:ascii="Arial" w:hAnsi="Arial"/>
          <w:b/>
          <w:color w:val="auto"/>
          <w:sz w:val="22"/>
          <w:szCs w:val="22"/>
        </w:rPr>
      </w:pPr>
    </w:p>
    <w:p w:rsidR="00EF3744" w:rsidRDefault="00EF3744" w:rsidP="00EF3744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Formularz Cenowy</w:t>
      </w:r>
    </w:p>
    <w:p w:rsidR="00EF3744" w:rsidRDefault="00EF3744" w:rsidP="00EF3744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PAKIET 1</w:t>
      </w:r>
    </w:p>
    <w:p w:rsidR="00EF3744" w:rsidRDefault="00EF3744" w:rsidP="00EF3744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tbl>
      <w:tblPr>
        <w:tblW w:w="11055" w:type="dxa"/>
        <w:tblInd w:w="-601" w:type="dxa"/>
        <w:tblLayout w:type="fixed"/>
        <w:tblLook w:val="04A0"/>
      </w:tblPr>
      <w:tblGrid>
        <w:gridCol w:w="850"/>
        <w:gridCol w:w="3118"/>
        <w:gridCol w:w="708"/>
        <w:gridCol w:w="709"/>
        <w:gridCol w:w="851"/>
        <w:gridCol w:w="1417"/>
        <w:gridCol w:w="992"/>
        <w:gridCol w:w="993"/>
        <w:gridCol w:w="1417"/>
      </w:tblGrid>
      <w:tr w:rsidR="00EF3744" w:rsidTr="00EF3744">
        <w:trPr>
          <w:trHeight w:val="9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 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Przedmiot zamówienia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744" w:rsidRDefault="00EF3744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J.m.</w:t>
            </w:r>
          </w:p>
          <w:p w:rsidR="00EF3744" w:rsidRDefault="00EF3744">
            <w:pPr>
              <w:jc w:val="center"/>
              <w:rPr>
                <w:rFonts w:ascii="Garamond" w:hAnsi="Garamond"/>
              </w:rPr>
            </w:pPr>
          </w:p>
          <w:p w:rsidR="00EF3744" w:rsidRDefault="00EF374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Ilość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Cena</w:t>
            </w:r>
          </w:p>
          <w:p w:rsidR="00EF3744" w:rsidRDefault="00EF374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744" w:rsidRDefault="00EF3744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Wartość</w:t>
            </w:r>
          </w:p>
          <w:p w:rsidR="00EF3744" w:rsidRDefault="00EF374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zamówienia </w:t>
            </w:r>
          </w:p>
          <w:p w:rsidR="00EF3744" w:rsidRDefault="00EF374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netto</w:t>
            </w:r>
          </w:p>
          <w:p w:rsidR="00EF3744" w:rsidRDefault="00EF374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744" w:rsidRDefault="00EF3744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Stawka</w:t>
            </w:r>
          </w:p>
          <w:p w:rsidR="00EF3744" w:rsidRDefault="00EF374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VAT </w:t>
            </w:r>
          </w:p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Kwota podatku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Wartość</w:t>
            </w:r>
          </w:p>
          <w:p w:rsidR="00EF3744" w:rsidRDefault="00EF3744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zamówienia brutto</w:t>
            </w:r>
          </w:p>
        </w:tc>
      </w:tr>
      <w:tr w:rsidR="00EF3744" w:rsidTr="00EF374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 (3x4)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 (5x6)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 (5+7)</w:t>
            </w:r>
          </w:p>
        </w:tc>
      </w:tr>
      <w:tr w:rsidR="00EF3744" w:rsidTr="00EF3744">
        <w:trPr>
          <w:trHeight w:val="3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 w:rsidP="00EF3744">
            <w:pPr>
              <w:snapToGrid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System do dekontaminacji pomieszczeń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3744" w:rsidRDefault="00EF3744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</w:tbl>
    <w:p w:rsidR="00EF3744" w:rsidRDefault="00EF3744" w:rsidP="00EF3744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EF3744" w:rsidRDefault="00EF3744" w:rsidP="00EF3744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EF3744" w:rsidRDefault="00EF3744" w:rsidP="00EF3744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EF3744" w:rsidRDefault="00EF3744" w:rsidP="00EF3744">
      <w:pPr>
        <w:spacing w:line="254" w:lineRule="auto"/>
        <w:rPr>
          <w:rFonts w:ascii="Garamond" w:hAnsi="Garamond" w:cs="Arial"/>
          <w:b/>
          <w:color w:val="808080"/>
          <w:sz w:val="22"/>
          <w:szCs w:val="22"/>
        </w:rPr>
      </w:pPr>
      <w:r>
        <w:rPr>
          <w:rFonts w:ascii="Garamond" w:hAnsi="Garamond" w:cs="Arial"/>
          <w:b/>
          <w:color w:val="808080"/>
          <w:sz w:val="22"/>
          <w:szCs w:val="22"/>
        </w:rPr>
        <w:t>Awarie należy zgłaszać na adres e-mail: …………………………………</w:t>
      </w:r>
    </w:p>
    <w:p w:rsidR="00EF3744" w:rsidRDefault="00EF3744">
      <w:pPr>
        <w:jc w:val="center"/>
        <w:rPr>
          <w:rFonts w:ascii="Arial" w:hAnsi="Arial"/>
          <w:b/>
          <w:color w:val="auto"/>
          <w:sz w:val="22"/>
          <w:szCs w:val="22"/>
        </w:rPr>
      </w:pPr>
    </w:p>
    <w:p w:rsidR="00EF3744" w:rsidRDefault="00EF3744">
      <w:pPr>
        <w:jc w:val="center"/>
        <w:rPr>
          <w:rFonts w:ascii="Arial" w:hAnsi="Arial"/>
          <w:b/>
          <w:color w:val="auto"/>
          <w:sz w:val="22"/>
          <w:szCs w:val="22"/>
        </w:rPr>
      </w:pPr>
    </w:p>
    <w:p w:rsidR="00EF3744" w:rsidRDefault="00EF3744">
      <w:pPr>
        <w:jc w:val="center"/>
        <w:rPr>
          <w:rFonts w:ascii="Arial" w:hAnsi="Arial"/>
          <w:b/>
          <w:color w:val="auto"/>
          <w:sz w:val="22"/>
          <w:szCs w:val="22"/>
        </w:rPr>
      </w:pPr>
    </w:p>
    <w:p w:rsidR="00FB0BAA" w:rsidRDefault="00455339">
      <w:pPr>
        <w:jc w:val="center"/>
        <w:rPr>
          <w:rFonts w:ascii="Arial" w:hAnsi="Arial"/>
          <w:b/>
          <w:color w:val="auto"/>
          <w:sz w:val="22"/>
          <w:szCs w:val="22"/>
        </w:rPr>
      </w:pPr>
      <w:r>
        <w:rPr>
          <w:rFonts w:ascii="Arial" w:hAnsi="Arial"/>
          <w:b/>
          <w:color w:val="auto"/>
          <w:sz w:val="22"/>
          <w:szCs w:val="22"/>
        </w:rPr>
        <w:t>ZESTAWIENIE PARAMETRÓW TECHNICZNO - UŻYTKOWYCH</w:t>
      </w:r>
    </w:p>
    <w:p w:rsidR="00FB0BAA" w:rsidRDefault="00455339">
      <w:pPr>
        <w:jc w:val="center"/>
        <w:rPr>
          <w:rFonts w:ascii="Arial" w:hAnsi="Arial"/>
          <w:b/>
          <w:color w:val="auto"/>
          <w:sz w:val="22"/>
          <w:szCs w:val="22"/>
        </w:rPr>
      </w:pPr>
      <w:r>
        <w:rPr>
          <w:rFonts w:ascii="Arial" w:hAnsi="Arial"/>
          <w:b/>
          <w:color w:val="auto"/>
          <w:sz w:val="22"/>
          <w:szCs w:val="22"/>
        </w:rPr>
        <w:t>GRANICZNYCH</w:t>
      </w:r>
    </w:p>
    <w:p w:rsidR="00FB0BAA" w:rsidRDefault="00FB0BAA">
      <w:pPr>
        <w:jc w:val="center"/>
        <w:rPr>
          <w:rFonts w:ascii="Arial" w:hAnsi="Arial"/>
          <w:b/>
          <w:color w:val="auto"/>
          <w:sz w:val="22"/>
          <w:szCs w:val="22"/>
        </w:rPr>
      </w:pPr>
    </w:p>
    <w:p w:rsidR="00FB0BAA" w:rsidRDefault="00455339">
      <w:pPr>
        <w:ind w:left="2268" w:hanging="2268"/>
      </w:pPr>
      <w:r>
        <w:rPr>
          <w:rFonts w:ascii="Arial" w:hAnsi="Arial"/>
          <w:b/>
          <w:smallCaps/>
          <w:color w:val="auto"/>
        </w:rPr>
        <w:t>Przedmiot przetargu:</w:t>
      </w:r>
      <w:r>
        <w:rPr>
          <w:rFonts w:ascii="Arial" w:hAnsi="Arial"/>
          <w:b/>
          <w:color w:val="auto"/>
        </w:rPr>
        <w:tab/>
      </w:r>
      <w:proofErr w:type="spellStart"/>
      <w:r>
        <w:rPr>
          <w:rFonts w:ascii="Arial" w:hAnsi="Arial"/>
          <w:b/>
          <w:smallCaps/>
          <w:color w:val="auto"/>
        </w:rPr>
        <w:t>dekontaminator</w:t>
      </w:r>
      <w:proofErr w:type="spellEnd"/>
      <w:r>
        <w:rPr>
          <w:rFonts w:ascii="Arial" w:hAnsi="Arial"/>
          <w:b/>
          <w:smallCaps/>
          <w:color w:val="auto"/>
        </w:rPr>
        <w:t xml:space="preserve"> z konwerterem katalitycznym</w:t>
      </w:r>
      <w:r>
        <w:rPr>
          <w:rFonts w:ascii="Arial" w:hAnsi="Arial"/>
          <w:bCs/>
          <w:smallCaps/>
          <w:color w:val="auto"/>
        </w:rPr>
        <w:t xml:space="preserve"> </w:t>
      </w:r>
      <w:r>
        <w:rPr>
          <w:rFonts w:ascii="Arial" w:hAnsi="Arial"/>
          <w:b/>
          <w:smallCaps/>
          <w:color w:val="auto"/>
        </w:rPr>
        <w:t>– 1 sztuka</w:t>
      </w:r>
    </w:p>
    <w:p w:rsidR="00FB0BAA" w:rsidRDefault="00FB0BAA">
      <w:pPr>
        <w:spacing w:after="160"/>
        <w:jc w:val="both"/>
        <w:rPr>
          <w:rFonts w:ascii="Arial" w:hAnsi="Arial"/>
          <w:b/>
          <w:color w:val="auto"/>
          <w:sz w:val="22"/>
          <w:szCs w:val="22"/>
        </w:rPr>
      </w:pPr>
    </w:p>
    <w:p w:rsidR="00FB0BAA" w:rsidRDefault="00455339">
      <w:pPr>
        <w:jc w:val="center"/>
      </w:pPr>
      <w:r>
        <w:rPr>
          <w:rFonts w:ascii="Arial" w:hAnsi="Arial"/>
          <w:b/>
          <w:smallCaps/>
          <w:color w:val="auto"/>
          <w:sz w:val="22"/>
          <w:szCs w:val="22"/>
        </w:rPr>
        <w:t>Producent:</w:t>
      </w:r>
      <w:r>
        <w:rPr>
          <w:rFonts w:ascii="Arial" w:hAnsi="Arial"/>
          <w:smallCaps/>
          <w:color w:val="auto"/>
          <w:sz w:val="22"/>
          <w:szCs w:val="22"/>
        </w:rPr>
        <w:t>________________</w:t>
      </w:r>
      <w:r>
        <w:rPr>
          <w:rFonts w:ascii="Arial" w:hAnsi="Arial"/>
          <w:b/>
          <w:smallCaps/>
          <w:color w:val="auto"/>
          <w:sz w:val="22"/>
          <w:szCs w:val="22"/>
        </w:rPr>
        <w:t>Model</w:t>
      </w:r>
      <w:r>
        <w:rPr>
          <w:rFonts w:ascii="Arial" w:hAnsi="Arial"/>
          <w:smallCaps/>
          <w:color w:val="auto"/>
          <w:sz w:val="22"/>
          <w:szCs w:val="22"/>
        </w:rPr>
        <w:t>:____________</w:t>
      </w:r>
      <w:r>
        <w:rPr>
          <w:rFonts w:ascii="Arial" w:hAnsi="Arial"/>
          <w:b/>
          <w:smallCaps/>
          <w:color w:val="auto"/>
          <w:sz w:val="22"/>
          <w:szCs w:val="22"/>
        </w:rPr>
        <w:t>Typ:</w:t>
      </w:r>
      <w:r>
        <w:rPr>
          <w:rFonts w:ascii="Arial" w:hAnsi="Arial"/>
          <w:smallCaps/>
          <w:color w:val="auto"/>
          <w:sz w:val="22"/>
          <w:szCs w:val="22"/>
        </w:rPr>
        <w:t>___________________</w:t>
      </w:r>
    </w:p>
    <w:p w:rsidR="00FB0BAA" w:rsidRDefault="00FB0BAA">
      <w:pPr>
        <w:keepNext/>
        <w:keepLines/>
        <w:spacing w:before="40"/>
        <w:rPr>
          <w:rFonts w:ascii="Arial" w:hAnsi="Arial"/>
          <w:b/>
          <w:iCs/>
          <w:color w:val="auto"/>
        </w:rPr>
      </w:pPr>
    </w:p>
    <w:p w:rsidR="00FB0BAA" w:rsidRDefault="00FB0BAA">
      <w:pPr>
        <w:spacing w:before="19"/>
        <w:rPr>
          <w:rFonts w:ascii="Arial" w:hAnsi="Arial"/>
          <w:color w:val="auto"/>
          <w:sz w:val="22"/>
        </w:rPr>
      </w:pPr>
    </w:p>
    <w:p w:rsidR="00F16B19" w:rsidRDefault="00F16B19">
      <w:pPr>
        <w:spacing w:before="19"/>
        <w:rPr>
          <w:rFonts w:ascii="Arial" w:hAnsi="Arial"/>
          <w:color w:val="auto"/>
          <w:sz w:val="22"/>
        </w:rPr>
      </w:pPr>
    </w:p>
    <w:tbl>
      <w:tblPr>
        <w:tblW w:w="10535" w:type="dxa"/>
        <w:tblInd w:w="-719" w:type="dxa"/>
        <w:tblLayout w:type="fixed"/>
        <w:tblCellMar>
          <w:left w:w="5" w:type="dxa"/>
          <w:right w:w="5" w:type="dxa"/>
        </w:tblCellMar>
        <w:tblLook w:val="0000"/>
      </w:tblPr>
      <w:tblGrid>
        <w:gridCol w:w="708"/>
        <w:gridCol w:w="4269"/>
        <w:gridCol w:w="2126"/>
        <w:gridCol w:w="3392"/>
        <w:gridCol w:w="40"/>
      </w:tblGrid>
      <w:tr w:rsidR="00FB0BAA" w:rsidTr="00F16B19">
        <w:trPr>
          <w:trHeight w:val="133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64" w:right="-20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Lp.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64" w:right="-20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Parametry techniczne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spacing w:line="228" w:lineRule="auto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Jednostka/ wartość</w:t>
            </w:r>
          </w:p>
          <w:p w:rsidR="00FB0BAA" w:rsidRDefault="00455339">
            <w:pPr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minimalna wymagana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spacing w:line="228" w:lineRule="auto"/>
              <w:ind w:right="9"/>
              <w:jc w:val="center"/>
              <w:rPr>
                <w:rFonts w:ascii="Arial" w:hAnsi="Arial"/>
                <w:b/>
                <w:color w:val="auto"/>
                <w:sz w:val="22"/>
              </w:rPr>
            </w:pPr>
            <w:r>
              <w:rPr>
                <w:rFonts w:ascii="Arial" w:hAnsi="Arial"/>
                <w:b/>
                <w:color w:val="auto"/>
                <w:sz w:val="22"/>
              </w:rPr>
              <w:t>Parametr oferowany</w:t>
            </w:r>
          </w:p>
        </w:tc>
      </w:tr>
      <w:tr w:rsidR="00FB0BAA">
        <w:trPr>
          <w:trHeight w:val="397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FB0BAA" w:rsidRDefault="00455339">
            <w:pPr>
              <w:spacing w:before="100"/>
              <w:jc w:val="center"/>
              <w:rPr>
                <w:rFonts w:ascii="Arial" w:hAnsi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/>
                <w:b/>
                <w:color w:val="auto"/>
                <w:sz w:val="18"/>
                <w:szCs w:val="18"/>
              </w:rPr>
              <w:t>WYMAGANIA OGÓLNE</w:t>
            </w: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BAA" w:rsidRDefault="00455339">
            <w:pPr>
              <w:ind w:left="57" w:right="57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Przenośny system do dekontaminacji pomieszczeń  gazową formą nadtlenku wodoru z konwerterem katalitycznym – 1 komplet.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835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  <w:p w:rsidR="00FB0BAA" w:rsidRDefault="00FB0BAA">
            <w:pPr>
              <w:tabs>
                <w:tab w:val="left" w:pos="4525"/>
              </w:tabs>
              <w:ind w:left="-213"/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BAA" w:rsidRDefault="00455339">
            <w:pPr>
              <w:tabs>
                <w:tab w:val="left" w:pos="483"/>
              </w:tabs>
              <w:ind w:left="57" w:right="57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Urządzenia fabrycznie nowe (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niepowystawowe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>), z produkcji seryjnej, wyprodukowane w 2024 roku.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>
        <w:trPr>
          <w:trHeight w:val="397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FB0BAA" w:rsidRDefault="00455339">
            <w:pPr>
              <w:spacing w:before="100"/>
              <w:jc w:val="center"/>
              <w:rPr>
                <w:rFonts w:ascii="Arial" w:hAnsi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/>
                <w:b/>
                <w:color w:val="auto"/>
                <w:sz w:val="18"/>
                <w:szCs w:val="18"/>
              </w:rPr>
              <w:t>URZĄDZENIE DO DEKONTAMINACJI – 1 SZT.</w:t>
            </w: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/>
              <w:ind w:left="57" w:right="57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Urządzenie przenośne o masie nie większej niż 12kg pozwalającej na łatwe przemieszczanie oraz przechowywanie.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 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Składana obudowa z tworzywa sztucznego umożliwiająca bezpieczny transport i przechowywanie urządzenia.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Zasilanie prądem jednofazowym 230V/50Hz.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spacing w:line="216" w:lineRule="auto"/>
              <w:ind w:left="57" w:right="57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Urządzenie do dekontaminacji przeprowadzanej z wykorzystaniem wodnego roztworu H</w:t>
            </w:r>
            <w:r>
              <w:rPr>
                <w:rFonts w:ascii="Arial" w:hAnsi="Arial" w:cs="Arial"/>
                <w:color w:val="auto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auto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(nadtlenku wodoru) o stężeniu 50%.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Prędkość podawania środka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biobójczego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niepowodująca powstawania wilgoci i kondensacji poniżej 4,5 g/min.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 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Pobór mocy 800W (± 50W).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 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Technologia dekontaminacji sucha (gazową formą nadtlenku wodoru) - bez wytwarzania aerozoli i tzw. "suchej mgły". Parametr wymagany bezwzględnie.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Automatyczny proces dekontaminacji niedopuszczający do kondensacji gazu poprzez kontrolę i utrzymanie parametrów fizycznych procesu poniżej punktu rosy. Parametr wymagany bezwzględnie.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Podłączany bezpośrednio do jednostki głównej czujnik (sonda) H</w:t>
            </w:r>
            <w:r>
              <w:rPr>
                <w:rFonts w:ascii="Arial" w:hAnsi="Arial" w:cs="Arial"/>
                <w:color w:val="auto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auto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[ppm], parametrów temperatury T [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˚C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], wilgotności względnej Rh [%], saturacji względnej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Rs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[%], rejestrujący parametry w czasie rzeczywistym.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Odporna na korozję obudowa czujnika wykonana ze stali nierdzewnej (stopień ochrony IP65).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Czujnik wyposażony w funkcję przedmuchiwania, pomagającą utrzymać dokładność między kalibracjami. Proces oczyszczania polega na szybkim</w:t>
            </w:r>
          </w:p>
          <w:p w:rsidR="00FB0BAA" w:rsidRDefault="00455339">
            <w:pPr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podgrzaniu czujnika w celu usunięcia ewentualnych zanieczyszczeń. Czujnik podgrzewany, co zapobiega</w:t>
            </w:r>
          </w:p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tworzeniu się skroplin na czujniku.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System modułowy, umożliwiający rozbudowę o dodatkowe jednostki (nieobjęte niniejszym zamówieniem) połączone w jedną sieć sterowaną jednocześnie w celu jednoczesnej dekontaminacji dużych kubatur.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Sterowanie mikroprocesorowe z kolorowym, dotykowym panelem sterowania. Menu urządzenia dostępne z poziomu panelu sterowania w języku polskim.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Rejestracja parametrów cyklu z częstotliwością rejestracji parametrów co 30 sekund, z możliwością wygenerowania raportu.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Komunikacja zewnętrznego panelu z urządzeniem poprzez własne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Wi-Fi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. Obsługa procesu spoza pomieszczenia.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Możliwość łączenia się z urządzeniami peryferyjnymi za pomocą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Wi-Fi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oraz LAN.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Porty komunikacyjne (wejście/wyjście) np.: RJ-45, RS-485 typ D, lub USB.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 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Wymiary zewnętrzne urządzenia (szer. x głęb. x wysokość): 60 x 50 x 30 cm (+/- 10%).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 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Możliwość dezynfekcji pomieszczeń razem ze sprzętem elektronicznym potwierdzone przez Producenta.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Możliwość kontroli procesu testami chemicznymi.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Skuteczność działania potwierdzana testem biologicznym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>
        <w:trPr>
          <w:trHeight w:val="397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snapToGrid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KONWERTER KATALITYCZNY – 1 SZT</w:t>
            </w: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Konwerter katalityczny – urządzenie wspomagające rozkład nadtlenku wodoru na tlen i wodę (parę wodną), dostarczane wraz z przewodami, mobilne.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Konwersja nadtlenku wodoru za pomocą filtracji HEPA oraz filtra katalitycznego z nadmanganianem potasu.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Kontrola pracy przez jednostkę główną (urządzenie do dekontaminacji), połączenie z tą jednostką za pomocą kabla Ethernet.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Wydajność wentylatora 1000 m3/h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4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Pobór mocy 250W, zasilanie 230 VAC/50Hz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Wymiary (dł. x szer. x wys.): 420 x 470 x 530mm (+/- 10%).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>
        <w:trPr>
          <w:trHeight w:val="397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snapToGrid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WYMAGANE WYPOSAŻENIE DODATKOWE JEDNOSTRKI GŁÓWNEJ</w:t>
            </w: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Tablet z oprogramowaniem (1 szt.), który wyświetla parametry procesu, kontroluje jego pracę, obsługiwany jest przez człowieka spoza dekontaminowanego pomieszczenia. Tablet wyposażony w technologię bezprzewodową, zasięg do 20 metrów. Wersja językowa oprogramowania polska.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>
        <w:trPr>
          <w:trHeight w:val="397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snapToGrid w:val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WYMAGANIA DODATKOWE</w:t>
            </w: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Dostawa oraz montaż urządzenia                         w miejscu wskazanym przez Zamawiającego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Instrukcja obsługi w języku polskim,                        w wersji papierowej i elektronicznej - dostarczane wraz z aparatem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ind w:left="57" w:right="57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Certyfikaty, dokumenty i dopuszczenia zgodne z obowiązującym prawem potwierdzające fakt dopuszczenia urządzenia do obrotu i użytkowania na terenie UE – dostarczane wraz z urządzeniem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tabs>
                <w:tab w:val="left" w:pos="185"/>
                <w:tab w:val="left" w:pos="680"/>
              </w:tabs>
              <w:autoSpaceDE w:val="0"/>
              <w:ind w:left="57" w:right="57" w:firstLine="17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Szkolenie personelu w zakresie eksploatacji i obsługi oferowanego urządzenia, </w:t>
            </w:r>
            <w:r>
              <w:rPr>
                <w:rFonts w:ascii="Arial" w:eastAsia="Calibri" w:hAnsi="Arial" w:cs="Arial"/>
                <w:color w:val="auto"/>
                <w:sz w:val="18"/>
                <w:szCs w:val="18"/>
              </w:rPr>
              <w:t>w siedzibie Zamawiającego, w pełnym zakresie, niezbędnym do prawidłowego i bezpiecznego korzystania z wyrobu i jego bieżącej konserwacji, potwierdzone protokołem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widowControl/>
              <w:suppressAutoHyphens w:val="0"/>
              <w:spacing w:before="100" w:after="100"/>
              <w:textAlignment w:val="auto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Zgodność z normami:</w:t>
            </w:r>
          </w:p>
          <w:p w:rsidR="00FB0BAA" w:rsidRDefault="00455339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spacing w:before="100" w:after="100"/>
              <w:textAlignment w:val="auto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EN 55011:2009+A1:2010</w:t>
            </w:r>
          </w:p>
          <w:p w:rsidR="00FB0BAA" w:rsidRDefault="00455339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spacing w:before="100" w:after="100"/>
              <w:textAlignment w:val="auto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EN 61000-6-3:2007+A1:2011+A1:2012</w:t>
            </w:r>
          </w:p>
          <w:p w:rsidR="00FB0BAA" w:rsidRDefault="00455339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spacing w:before="100" w:after="100"/>
              <w:textAlignment w:val="auto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EN 61000-6- 2:2005+AC:2005</w:t>
            </w:r>
          </w:p>
          <w:p w:rsidR="00FB0BAA" w:rsidRDefault="00455339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spacing w:before="100" w:after="100"/>
              <w:textAlignment w:val="auto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EN 301 489 -1 V1.9.2</w:t>
            </w:r>
          </w:p>
          <w:p w:rsidR="00FB0BAA" w:rsidRDefault="00455339">
            <w:pPr>
              <w:widowControl/>
              <w:suppressAutoHyphens w:val="0"/>
              <w:spacing w:before="100" w:after="100"/>
              <w:ind w:left="360"/>
              <w:textAlignment w:val="auto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lub równoważne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ind w:left="57" w:right="5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 Podać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widowControl/>
              <w:suppressAutoHyphens w:val="0"/>
              <w:spacing w:before="100" w:after="100"/>
              <w:textAlignment w:val="auto"/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Certyfikat zgodności z normą EN17272 lub równ</w:t>
            </w: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o</w:t>
            </w: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ważne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tabs>
                <w:tab w:val="left" w:pos="185"/>
                <w:tab w:val="left" w:pos="680"/>
              </w:tabs>
              <w:autoSpaceDE w:val="0"/>
              <w:ind w:left="57" w:right="57" w:firstLine="1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 Podać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textAlignment w:val="auto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45533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spacing w:before="100" w:after="100"/>
              <w:textAlignment w:val="auto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Deklaracja zgodności CE</w:t>
            </w:r>
          </w:p>
          <w:p w:rsidR="00FB0BAA" w:rsidRDefault="00455339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spacing w:before="100" w:after="100"/>
              <w:textAlignment w:val="auto"/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Zgodność z dyrektywą 2014/30/UE</w:t>
            </w:r>
          </w:p>
          <w:p w:rsidR="00FB0BAA" w:rsidRDefault="00455339">
            <w:pPr>
              <w:widowControl/>
              <w:suppressAutoHyphens w:val="0"/>
              <w:spacing w:before="100" w:after="100"/>
              <w:textAlignment w:val="auto"/>
            </w:pPr>
            <w:r>
              <w:rPr>
                <w:rFonts w:ascii="Arial" w:eastAsia="Times New Roman" w:hAnsi="Arial" w:cs="Arial"/>
                <w:color w:val="auto"/>
                <w:kern w:val="0"/>
                <w:sz w:val="18"/>
                <w:szCs w:val="18"/>
                <w:lang w:eastAsia="pl-PL" w:bidi="ar-SA"/>
              </w:rPr>
              <w:t>lub równoważne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tabs>
                <w:tab w:val="left" w:pos="185"/>
                <w:tab w:val="left" w:pos="680"/>
              </w:tabs>
              <w:autoSpaceDE w:val="0"/>
              <w:ind w:left="57" w:right="57" w:firstLine="17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 Podać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FB0BAA" w:rsidRDefault="00FB0BAA">
            <w:pPr>
              <w:snapToGrid w:val="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>
        <w:trPr>
          <w:trHeight w:val="353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FB0BAA" w:rsidRDefault="00455339">
            <w:pPr>
              <w:tabs>
                <w:tab w:val="left" w:pos="5260"/>
              </w:tabs>
              <w:jc w:val="center"/>
              <w:rPr>
                <w:rFonts w:ascii="Arial" w:eastAsia="Arial Unicode MS" w:hAnsi="Arial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color w:val="auto"/>
                <w:sz w:val="18"/>
                <w:szCs w:val="18"/>
              </w:rPr>
              <w:t>WARUNKI GWARANCJI</w:t>
            </w: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Okres gwarancji: minimum 24 miesiące od spisania przez strony protokołu zdawczo-odbiorczego sporządzonego przez Zamawiającego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W ramach gwarancji, Wykonawca zapewni przeglądy techniczne urządzenia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wg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. zaleceń producenta w siedzibie Zamawiającego </w:t>
            </w:r>
            <w:r>
              <w:rPr>
                <w:rFonts w:ascii="Arial" w:eastAsia="Calibri" w:hAnsi="Arial" w:cs="Arial"/>
                <w:color w:val="auto"/>
                <w:sz w:val="18"/>
                <w:szCs w:val="18"/>
              </w:rPr>
              <w:t>(ostatni na koniec okresu gwarancyjnego). Wykonawca jest zobowiązany do zapewnienia w ramach gwarancji materiałów (fabrycznie nowych, oryginalnych) niezbędnych do przeprowadzenia przeglądów gwarancyjnych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 okresie gwarancji, organizacja spedycji oraz koszt transportu urządzenia do i z punktu serwisowego oraz koszty dojazdu serwisanta do siedziby Zamawiającego, w celu wykonania przeglądu technicznego lub prac naprawczych urządzenia/usunięcia usterki, pokrywa Wykonawca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W ramach gwarancji, Wykonawca zobowiązuje się do wykonywania napraw wszelkich awarii urządzenia, w celu zapewnienia bezawaryjnego jego funkcjonowania ponosząc wszelkie koszty z tym związane (m.in. koszty: części fabrycznie nowych oryginalnych, wymiany części zużywalnych i </w:t>
            </w: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niezużywalnych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>, konserwacji)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W okresie gwarancji Wykonawca zobowiązany jest do prowadzenia dokumentacji z wykonanych przeglądów w paszporcie technicznym urządzenia. Wykonawca zobowiązany jest również do prowadzenia dokumentacji z interwencji serwisowych w paszporcie technicznym urządzenia oraz na karcie pracy / raporcie serwisowym, potwierdzone przez jednostkę, dla której została wykonana usługa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185"/>
                <w:tab w:val="left" w:pos="680"/>
              </w:tabs>
              <w:autoSpaceDE w:val="0"/>
              <w:ind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Czas naprawy/usunięcia usterki urządzenia:</w:t>
            </w:r>
          </w:p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auto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color w:val="auto"/>
                <w:sz w:val="18"/>
                <w:szCs w:val="18"/>
              </w:rPr>
              <w:t>. 5 dni roboczych (pn-pt), z wyłączeniem dni ustawowo wolnych od pracy, od dnia zgłoszenia awarii.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5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Brak możliwości przywrócenia sprawności technicznej urządzenia oznacza jego wymianę na urządzenie fabrycznie nowe, wolne od wad o takich samych lub lepszych parametrach technicznych. Wszelkie koszty związane z wymianą pokrywa Wykonawca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Okres zagwarantowania dostępności części zamiennych oraz materiałów zużywalnych wynosi min. 8 lat od daty podpisania protokołu odbioru technicznego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B0BAA" w:rsidTr="00F16B19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numPr>
                <w:ilvl w:val="0"/>
                <w:numId w:val="1"/>
              </w:numPr>
              <w:tabs>
                <w:tab w:val="left" w:pos="-410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Autoryzowany przez producenta urządzenia serwis gwarancyjny i pogwarancyjny z dostępem do oryginalnych części zamiennych od producenta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455339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TAK/PODAĆ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BAA" w:rsidRDefault="00FB0BAA">
            <w:pPr>
              <w:spacing w:before="10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:rsidR="00FB0BAA" w:rsidRDefault="00FB0BAA">
      <w:pPr>
        <w:rPr>
          <w:rFonts w:ascii="Arial" w:hAnsi="Arial" w:cs="Arial"/>
          <w:color w:val="auto"/>
          <w:sz w:val="18"/>
          <w:szCs w:val="18"/>
        </w:rPr>
      </w:pPr>
    </w:p>
    <w:p w:rsidR="00FB0BAA" w:rsidRDefault="00FB0BAA">
      <w:pPr>
        <w:rPr>
          <w:rFonts w:ascii="Arial" w:hAnsi="Arial" w:cs="Arial"/>
          <w:color w:val="auto"/>
          <w:sz w:val="18"/>
          <w:szCs w:val="18"/>
        </w:rPr>
      </w:pPr>
    </w:p>
    <w:p w:rsidR="00FB0BAA" w:rsidRDefault="00FB0BAA">
      <w:pPr>
        <w:rPr>
          <w:rFonts w:ascii="Arial" w:hAnsi="Arial" w:cs="Arial"/>
          <w:color w:val="auto"/>
          <w:sz w:val="18"/>
          <w:szCs w:val="18"/>
        </w:rPr>
      </w:pPr>
    </w:p>
    <w:p w:rsidR="00F16B19" w:rsidRDefault="00F16B19">
      <w:pPr>
        <w:rPr>
          <w:rFonts w:ascii="Arial" w:hAnsi="Arial" w:cs="Arial"/>
          <w:color w:val="auto"/>
          <w:sz w:val="18"/>
          <w:szCs w:val="18"/>
        </w:rPr>
      </w:pPr>
    </w:p>
    <w:p w:rsidR="00FB0BAA" w:rsidRDefault="00F16B19">
      <w:pPr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……………………………………………………….</w:t>
      </w:r>
    </w:p>
    <w:p w:rsidR="00FB0BAA" w:rsidRDefault="00F16B19" w:rsidP="00F16B19">
      <w:pPr>
        <w:tabs>
          <w:tab w:val="left" w:pos="0"/>
          <w:tab w:val="left" w:pos="3960"/>
          <w:tab w:val="center" w:pos="4536"/>
          <w:tab w:val="right" w:pos="9072"/>
        </w:tabs>
      </w:pPr>
      <w:r>
        <w:rPr>
          <w:rFonts w:ascii="Times New Roman" w:hAnsi="Times New Roman" w:cs="Times New Roman"/>
          <w:sz w:val="18"/>
          <w:szCs w:val="18"/>
        </w:rPr>
        <w:t>Pod</w:t>
      </w:r>
      <w:r w:rsidR="00455339">
        <w:rPr>
          <w:rFonts w:ascii="Times New Roman" w:hAnsi="Times New Roman" w:cs="Times New Roman"/>
          <w:sz w:val="18"/>
          <w:szCs w:val="18"/>
        </w:rPr>
        <w:t>pis</w:t>
      </w:r>
      <w:r>
        <w:rPr>
          <w:rFonts w:ascii="Times New Roman" w:hAnsi="Times New Roman" w:cs="Times New Roman"/>
          <w:sz w:val="18"/>
          <w:szCs w:val="18"/>
        </w:rPr>
        <w:t xml:space="preserve"> kwalifikowany/zaufany/osobisty</w:t>
      </w:r>
    </w:p>
    <w:p w:rsidR="00FB0BAA" w:rsidRDefault="00FB0BAA">
      <w:pPr>
        <w:rPr>
          <w:rFonts w:ascii="Arial" w:hAnsi="Arial" w:cs="Arial"/>
          <w:color w:val="auto"/>
          <w:sz w:val="18"/>
          <w:szCs w:val="18"/>
        </w:rPr>
      </w:pPr>
    </w:p>
    <w:sectPr w:rsidR="00FB0BAA" w:rsidSect="00FB0BAA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339" w:rsidRDefault="00455339" w:rsidP="00F16B19">
      <w:r>
        <w:separator/>
      </w:r>
    </w:p>
  </w:endnote>
  <w:endnote w:type="continuationSeparator" w:id="0">
    <w:p w:rsidR="00455339" w:rsidRDefault="00455339" w:rsidP="00F16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339" w:rsidRDefault="00455339" w:rsidP="00F16B19">
      <w:r>
        <w:separator/>
      </w:r>
    </w:p>
  </w:footnote>
  <w:footnote w:type="continuationSeparator" w:id="0">
    <w:p w:rsidR="00455339" w:rsidRDefault="00455339" w:rsidP="00F16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B19" w:rsidRDefault="00F16B19" w:rsidP="00F16B19">
    <w:pPr>
      <w:ind w:right="-1"/>
      <w:jc w:val="center"/>
      <w:rPr>
        <w:rFonts w:ascii="Arial" w:hAnsi="Arial"/>
        <w:b/>
        <w:color w:val="auto"/>
        <w:sz w:val="22"/>
        <w:szCs w:val="22"/>
      </w:rPr>
    </w:pPr>
  </w:p>
  <w:p w:rsidR="00F16B19" w:rsidRDefault="00F16B19" w:rsidP="00F16B19">
    <w:pPr>
      <w:ind w:right="-1"/>
      <w:jc w:val="center"/>
      <w:rPr>
        <w:rFonts w:ascii="Arial" w:hAnsi="Arial"/>
        <w:b/>
        <w:color w:val="auto"/>
        <w:sz w:val="22"/>
        <w:szCs w:val="22"/>
      </w:rPr>
    </w:pPr>
  </w:p>
  <w:p w:rsidR="00F16B19" w:rsidRDefault="00F16B19" w:rsidP="00F16B19">
    <w:pPr>
      <w:ind w:right="-1"/>
      <w:jc w:val="center"/>
      <w:rPr>
        <w:rFonts w:ascii="Arial" w:hAnsi="Arial"/>
        <w:b/>
        <w:color w:val="auto"/>
        <w:sz w:val="22"/>
        <w:szCs w:val="22"/>
      </w:rPr>
    </w:pPr>
    <w:r>
      <w:rPr>
        <w:rFonts w:ascii="Arial" w:hAnsi="Arial"/>
        <w:b/>
        <w:color w:val="auto"/>
        <w:sz w:val="22"/>
        <w:szCs w:val="22"/>
      </w:rPr>
      <w:t>Nr postępowania przetargowego DL-271-42/24</w:t>
    </w:r>
    <w:r>
      <w:rPr>
        <w:rFonts w:ascii="Arial" w:hAnsi="Arial"/>
        <w:b/>
        <w:color w:val="auto"/>
        <w:sz w:val="22"/>
        <w:szCs w:val="22"/>
      </w:rPr>
      <w:tab/>
    </w:r>
    <w:r>
      <w:rPr>
        <w:rFonts w:ascii="Arial" w:hAnsi="Arial"/>
        <w:b/>
        <w:color w:val="auto"/>
        <w:sz w:val="22"/>
        <w:szCs w:val="22"/>
      </w:rPr>
      <w:tab/>
    </w:r>
    <w:r>
      <w:rPr>
        <w:rFonts w:ascii="Arial" w:hAnsi="Arial"/>
        <w:b/>
        <w:color w:val="auto"/>
        <w:sz w:val="22"/>
        <w:szCs w:val="22"/>
      </w:rPr>
      <w:tab/>
    </w:r>
    <w:r>
      <w:rPr>
        <w:rFonts w:ascii="Arial" w:hAnsi="Arial"/>
        <w:b/>
        <w:color w:val="auto"/>
        <w:sz w:val="22"/>
        <w:szCs w:val="22"/>
      </w:rPr>
      <w:tab/>
      <w:t>Załącznik numer 2</w:t>
    </w:r>
  </w:p>
  <w:p w:rsidR="00F16B19" w:rsidRDefault="00F16B1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0C18"/>
    <w:multiLevelType w:val="multilevel"/>
    <w:tmpl w:val="EF96D8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56C2E0E"/>
    <w:multiLevelType w:val="multilevel"/>
    <w:tmpl w:val="FF84FF9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8C23AC3"/>
    <w:multiLevelType w:val="multilevel"/>
    <w:tmpl w:val="F17A8A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0B77153"/>
    <w:multiLevelType w:val="multilevel"/>
    <w:tmpl w:val="9AE60C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B19"/>
    <w:rsid w:val="00455339"/>
    <w:rsid w:val="00587154"/>
    <w:rsid w:val="005904A1"/>
    <w:rsid w:val="00AE73CD"/>
    <w:rsid w:val="00EF3744"/>
    <w:rsid w:val="00F16B19"/>
    <w:rsid w:val="00FB0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egoe UI" w:hAnsi="Liberation Serif" w:cs="Tahoma"/>
        <w:color w:val="000000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BAA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qFormat/>
    <w:rsid w:val="00FB0BAA"/>
    <w:rPr>
      <w:rFonts w:ascii="Tahoma" w:eastAsia="Tahoma" w:hAnsi="Tahoma" w:cs="Tahoma"/>
      <w:sz w:val="16"/>
      <w:szCs w:val="16"/>
    </w:rPr>
  </w:style>
  <w:style w:type="character" w:customStyle="1" w:styleId="FontStyle113">
    <w:name w:val="Font Style113"/>
    <w:qFormat/>
    <w:rsid w:val="00FB0BAA"/>
    <w:rPr>
      <w:rFonts w:ascii="Arial" w:eastAsia="Arial" w:hAnsi="Arial" w:cs="Arial"/>
      <w:sz w:val="16"/>
    </w:rPr>
  </w:style>
  <w:style w:type="character" w:customStyle="1" w:styleId="StopkaZnak">
    <w:name w:val="Stopka Znak"/>
    <w:qFormat/>
    <w:rsid w:val="00FB0BAA"/>
  </w:style>
  <w:style w:type="character" w:customStyle="1" w:styleId="EndnoteCharacters">
    <w:name w:val="Endnote Characters"/>
    <w:qFormat/>
    <w:rsid w:val="00FB0BAA"/>
    <w:rPr>
      <w:vertAlign w:val="superscript"/>
    </w:rPr>
  </w:style>
  <w:style w:type="character" w:customStyle="1" w:styleId="TekstprzypisukocowegoZnak">
    <w:name w:val="Tekst przypisu końcowego Znak"/>
    <w:qFormat/>
    <w:rsid w:val="00FB0BAA"/>
  </w:style>
  <w:style w:type="character" w:styleId="Numerstrony">
    <w:name w:val="page number"/>
    <w:qFormat/>
    <w:rsid w:val="00FB0BAA"/>
  </w:style>
  <w:style w:type="character" w:customStyle="1" w:styleId="NagwekZnak">
    <w:name w:val="Nagłówek Znak"/>
    <w:basedOn w:val="Domylnaczcionkaakapitu"/>
    <w:qFormat/>
    <w:rsid w:val="00FB0BAA"/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character" w:styleId="Pogrubienie">
    <w:name w:val="Strong"/>
    <w:basedOn w:val="Domylnaczcionkaakapitu"/>
    <w:qFormat/>
    <w:rsid w:val="00FB0BAA"/>
    <w:rPr>
      <w:b/>
      <w:bCs/>
    </w:rPr>
  </w:style>
  <w:style w:type="character" w:customStyle="1" w:styleId="WWCharLFO1LVL2">
    <w:name w:val="WW_CharLFO1LVL2"/>
    <w:qFormat/>
    <w:rsid w:val="00FB0BAA"/>
    <w:rPr>
      <w:rFonts w:ascii="Symbol" w:hAnsi="Symbol" w:cs="Symbol"/>
    </w:rPr>
  </w:style>
  <w:style w:type="character" w:customStyle="1" w:styleId="WWCharLFO2LVL1">
    <w:name w:val="WW_CharLFO2LVL1"/>
    <w:qFormat/>
    <w:rsid w:val="00FB0BAA"/>
    <w:rPr>
      <w:rFonts w:ascii="Symbol" w:hAnsi="Symbol" w:cs="Symbol"/>
      <w:sz w:val="18"/>
    </w:rPr>
  </w:style>
  <w:style w:type="character" w:customStyle="1" w:styleId="WWCharLFO2LVL2">
    <w:name w:val="WW_CharLFO2LVL2"/>
    <w:qFormat/>
    <w:rsid w:val="00FB0BAA"/>
    <w:rPr>
      <w:rFonts w:ascii="Times New Roman" w:hAnsi="Times New Roman" w:cs="Courier New"/>
    </w:rPr>
  </w:style>
  <w:style w:type="character" w:customStyle="1" w:styleId="WWCharLFO2LVL3">
    <w:name w:val="WW_CharLFO2LVL3"/>
    <w:qFormat/>
    <w:rsid w:val="00FB0BAA"/>
    <w:rPr>
      <w:rFonts w:ascii="Times New Roman" w:hAnsi="Times New Roman" w:cs="Wingdings"/>
    </w:rPr>
  </w:style>
  <w:style w:type="character" w:customStyle="1" w:styleId="WWCharLFO2LVL4">
    <w:name w:val="WW_CharLFO2LVL4"/>
    <w:qFormat/>
    <w:rsid w:val="00FB0BAA"/>
    <w:rPr>
      <w:rFonts w:ascii="Symbol" w:hAnsi="Symbol" w:cs="Symbol"/>
    </w:rPr>
  </w:style>
  <w:style w:type="character" w:customStyle="1" w:styleId="WWCharLFO2LVL5">
    <w:name w:val="WW_CharLFO2LVL5"/>
    <w:qFormat/>
    <w:rsid w:val="00FB0BAA"/>
    <w:rPr>
      <w:rFonts w:ascii="Times New Roman" w:hAnsi="Times New Roman" w:cs="Courier New"/>
    </w:rPr>
  </w:style>
  <w:style w:type="character" w:customStyle="1" w:styleId="WWCharLFO2LVL6">
    <w:name w:val="WW_CharLFO2LVL6"/>
    <w:qFormat/>
    <w:rsid w:val="00FB0BAA"/>
    <w:rPr>
      <w:rFonts w:ascii="Times New Roman" w:hAnsi="Times New Roman" w:cs="Wingdings"/>
    </w:rPr>
  </w:style>
  <w:style w:type="character" w:customStyle="1" w:styleId="WWCharLFO2LVL7">
    <w:name w:val="WW_CharLFO2LVL7"/>
    <w:qFormat/>
    <w:rsid w:val="00FB0BAA"/>
    <w:rPr>
      <w:rFonts w:ascii="Symbol" w:hAnsi="Symbol" w:cs="Symbol"/>
    </w:rPr>
  </w:style>
  <w:style w:type="character" w:customStyle="1" w:styleId="WWCharLFO2LVL8">
    <w:name w:val="WW_CharLFO2LVL8"/>
    <w:qFormat/>
    <w:rsid w:val="00FB0BAA"/>
    <w:rPr>
      <w:rFonts w:ascii="Times New Roman" w:hAnsi="Times New Roman" w:cs="Courier New"/>
    </w:rPr>
  </w:style>
  <w:style w:type="character" w:customStyle="1" w:styleId="WWCharLFO2LVL9">
    <w:name w:val="WW_CharLFO2LVL9"/>
    <w:qFormat/>
    <w:rsid w:val="00FB0BAA"/>
    <w:rPr>
      <w:rFonts w:ascii="Times New Roman" w:hAnsi="Times New Roman" w:cs="Wingdings"/>
    </w:rPr>
  </w:style>
  <w:style w:type="character" w:customStyle="1" w:styleId="WWCharLFO3LVL1">
    <w:name w:val="WW_CharLFO3LVL1"/>
    <w:qFormat/>
    <w:rsid w:val="00FB0BAA"/>
    <w:rPr>
      <w:rFonts w:ascii="Symbol" w:hAnsi="Symbol" w:cs="Symbol"/>
      <w:sz w:val="18"/>
    </w:rPr>
  </w:style>
  <w:style w:type="character" w:customStyle="1" w:styleId="WWCharLFO3LVL2">
    <w:name w:val="WW_CharLFO3LVL2"/>
    <w:qFormat/>
    <w:rsid w:val="00FB0BAA"/>
    <w:rPr>
      <w:rFonts w:ascii="Times New Roman" w:hAnsi="Times New Roman" w:cs="Courier New"/>
    </w:rPr>
  </w:style>
  <w:style w:type="character" w:customStyle="1" w:styleId="WWCharLFO3LVL3">
    <w:name w:val="WW_CharLFO3LVL3"/>
    <w:qFormat/>
    <w:rsid w:val="00FB0BAA"/>
    <w:rPr>
      <w:rFonts w:ascii="Times New Roman" w:hAnsi="Times New Roman" w:cs="Wingdings"/>
    </w:rPr>
  </w:style>
  <w:style w:type="character" w:customStyle="1" w:styleId="WWCharLFO3LVL4">
    <w:name w:val="WW_CharLFO3LVL4"/>
    <w:qFormat/>
    <w:rsid w:val="00FB0BAA"/>
    <w:rPr>
      <w:rFonts w:ascii="Symbol" w:hAnsi="Symbol" w:cs="Symbol"/>
    </w:rPr>
  </w:style>
  <w:style w:type="character" w:customStyle="1" w:styleId="WWCharLFO3LVL5">
    <w:name w:val="WW_CharLFO3LVL5"/>
    <w:qFormat/>
    <w:rsid w:val="00FB0BAA"/>
    <w:rPr>
      <w:rFonts w:ascii="Times New Roman" w:hAnsi="Times New Roman" w:cs="Courier New"/>
    </w:rPr>
  </w:style>
  <w:style w:type="character" w:customStyle="1" w:styleId="WWCharLFO3LVL6">
    <w:name w:val="WW_CharLFO3LVL6"/>
    <w:qFormat/>
    <w:rsid w:val="00FB0BAA"/>
    <w:rPr>
      <w:rFonts w:ascii="Times New Roman" w:hAnsi="Times New Roman" w:cs="Wingdings"/>
    </w:rPr>
  </w:style>
  <w:style w:type="character" w:customStyle="1" w:styleId="WWCharLFO3LVL7">
    <w:name w:val="WW_CharLFO3LVL7"/>
    <w:qFormat/>
    <w:rsid w:val="00FB0BAA"/>
    <w:rPr>
      <w:rFonts w:ascii="Symbol" w:hAnsi="Symbol" w:cs="Symbol"/>
    </w:rPr>
  </w:style>
  <w:style w:type="character" w:customStyle="1" w:styleId="WWCharLFO3LVL8">
    <w:name w:val="WW_CharLFO3LVL8"/>
    <w:qFormat/>
    <w:rsid w:val="00FB0BAA"/>
    <w:rPr>
      <w:rFonts w:ascii="Times New Roman" w:hAnsi="Times New Roman" w:cs="Courier New"/>
    </w:rPr>
  </w:style>
  <w:style w:type="character" w:customStyle="1" w:styleId="WWCharLFO3LVL9">
    <w:name w:val="WW_CharLFO3LVL9"/>
    <w:qFormat/>
    <w:rsid w:val="00FB0BAA"/>
    <w:rPr>
      <w:rFonts w:ascii="Times New Roman" w:hAnsi="Times New Roman" w:cs="Wingdings"/>
    </w:rPr>
  </w:style>
  <w:style w:type="character" w:customStyle="1" w:styleId="WWCharLFO6LVL1">
    <w:name w:val="WW_CharLFO6LVL1"/>
    <w:qFormat/>
    <w:rsid w:val="00FB0BAA"/>
    <w:rPr>
      <w:rFonts w:ascii="Symbol" w:hAnsi="Symbol"/>
    </w:rPr>
  </w:style>
  <w:style w:type="character" w:customStyle="1" w:styleId="WWCharLFO6LVL2">
    <w:name w:val="WW_CharLFO6LVL2"/>
    <w:qFormat/>
    <w:rsid w:val="00FB0BAA"/>
    <w:rPr>
      <w:rFonts w:ascii="Courier New" w:hAnsi="Courier New" w:cs="Courier New"/>
    </w:rPr>
  </w:style>
  <w:style w:type="character" w:customStyle="1" w:styleId="WWCharLFO6LVL3">
    <w:name w:val="WW_CharLFO6LVL3"/>
    <w:qFormat/>
    <w:rsid w:val="00FB0BAA"/>
    <w:rPr>
      <w:rFonts w:ascii="Wingdings" w:hAnsi="Wingdings"/>
    </w:rPr>
  </w:style>
  <w:style w:type="character" w:customStyle="1" w:styleId="WWCharLFO6LVL4">
    <w:name w:val="WW_CharLFO6LVL4"/>
    <w:qFormat/>
    <w:rsid w:val="00FB0BAA"/>
    <w:rPr>
      <w:rFonts w:ascii="Symbol" w:hAnsi="Symbol"/>
    </w:rPr>
  </w:style>
  <w:style w:type="character" w:customStyle="1" w:styleId="WWCharLFO6LVL5">
    <w:name w:val="WW_CharLFO6LVL5"/>
    <w:qFormat/>
    <w:rsid w:val="00FB0BAA"/>
    <w:rPr>
      <w:rFonts w:ascii="Courier New" w:hAnsi="Courier New" w:cs="Courier New"/>
    </w:rPr>
  </w:style>
  <w:style w:type="character" w:customStyle="1" w:styleId="WWCharLFO6LVL6">
    <w:name w:val="WW_CharLFO6LVL6"/>
    <w:qFormat/>
    <w:rsid w:val="00FB0BAA"/>
    <w:rPr>
      <w:rFonts w:ascii="Wingdings" w:hAnsi="Wingdings"/>
    </w:rPr>
  </w:style>
  <w:style w:type="character" w:customStyle="1" w:styleId="WWCharLFO6LVL7">
    <w:name w:val="WW_CharLFO6LVL7"/>
    <w:qFormat/>
    <w:rsid w:val="00FB0BAA"/>
    <w:rPr>
      <w:rFonts w:ascii="Symbol" w:hAnsi="Symbol"/>
    </w:rPr>
  </w:style>
  <w:style w:type="character" w:customStyle="1" w:styleId="WWCharLFO6LVL8">
    <w:name w:val="WW_CharLFO6LVL8"/>
    <w:qFormat/>
    <w:rsid w:val="00FB0BAA"/>
    <w:rPr>
      <w:rFonts w:ascii="Courier New" w:hAnsi="Courier New" w:cs="Courier New"/>
    </w:rPr>
  </w:style>
  <w:style w:type="character" w:customStyle="1" w:styleId="WWCharLFO6LVL9">
    <w:name w:val="WW_CharLFO6LVL9"/>
    <w:qFormat/>
    <w:rsid w:val="00FB0BAA"/>
    <w:rPr>
      <w:rFonts w:ascii="Wingdings" w:hAnsi="Wingdings"/>
    </w:rPr>
  </w:style>
  <w:style w:type="character" w:customStyle="1" w:styleId="WWCharLFO7LVL1">
    <w:name w:val="WW_CharLFO7LVL1"/>
    <w:qFormat/>
    <w:rsid w:val="00FB0BAA"/>
    <w:rPr>
      <w:rFonts w:ascii="Symbol" w:hAnsi="Symbol"/>
    </w:rPr>
  </w:style>
  <w:style w:type="character" w:customStyle="1" w:styleId="WWCharLFO7LVL2">
    <w:name w:val="WW_CharLFO7LVL2"/>
    <w:qFormat/>
    <w:rsid w:val="00FB0BAA"/>
    <w:rPr>
      <w:rFonts w:ascii="Courier New" w:hAnsi="Courier New" w:cs="Courier New"/>
    </w:rPr>
  </w:style>
  <w:style w:type="character" w:customStyle="1" w:styleId="WWCharLFO7LVL3">
    <w:name w:val="WW_CharLFO7LVL3"/>
    <w:qFormat/>
    <w:rsid w:val="00FB0BAA"/>
    <w:rPr>
      <w:rFonts w:ascii="Wingdings" w:hAnsi="Wingdings"/>
    </w:rPr>
  </w:style>
  <w:style w:type="character" w:customStyle="1" w:styleId="WWCharLFO7LVL4">
    <w:name w:val="WW_CharLFO7LVL4"/>
    <w:qFormat/>
    <w:rsid w:val="00FB0BAA"/>
    <w:rPr>
      <w:rFonts w:ascii="Symbol" w:hAnsi="Symbol"/>
    </w:rPr>
  </w:style>
  <w:style w:type="character" w:customStyle="1" w:styleId="WWCharLFO7LVL5">
    <w:name w:val="WW_CharLFO7LVL5"/>
    <w:qFormat/>
    <w:rsid w:val="00FB0BAA"/>
    <w:rPr>
      <w:rFonts w:ascii="Courier New" w:hAnsi="Courier New" w:cs="Courier New"/>
    </w:rPr>
  </w:style>
  <w:style w:type="character" w:customStyle="1" w:styleId="WWCharLFO7LVL6">
    <w:name w:val="WW_CharLFO7LVL6"/>
    <w:qFormat/>
    <w:rsid w:val="00FB0BAA"/>
    <w:rPr>
      <w:rFonts w:ascii="Wingdings" w:hAnsi="Wingdings"/>
    </w:rPr>
  </w:style>
  <w:style w:type="character" w:customStyle="1" w:styleId="WWCharLFO7LVL7">
    <w:name w:val="WW_CharLFO7LVL7"/>
    <w:qFormat/>
    <w:rsid w:val="00FB0BAA"/>
    <w:rPr>
      <w:rFonts w:ascii="Symbol" w:hAnsi="Symbol"/>
    </w:rPr>
  </w:style>
  <w:style w:type="character" w:customStyle="1" w:styleId="WWCharLFO7LVL8">
    <w:name w:val="WW_CharLFO7LVL8"/>
    <w:qFormat/>
    <w:rsid w:val="00FB0BAA"/>
    <w:rPr>
      <w:rFonts w:ascii="Courier New" w:hAnsi="Courier New" w:cs="Courier New"/>
    </w:rPr>
  </w:style>
  <w:style w:type="character" w:customStyle="1" w:styleId="WWCharLFO7LVL9">
    <w:name w:val="WW_CharLFO7LVL9"/>
    <w:qFormat/>
    <w:rsid w:val="00FB0BAA"/>
    <w:rPr>
      <w:rFonts w:ascii="Wingdings" w:hAnsi="Wingdings"/>
    </w:rPr>
  </w:style>
  <w:style w:type="paragraph" w:styleId="Tekstdymka">
    <w:name w:val="Balloon Text"/>
    <w:basedOn w:val="Normalny"/>
    <w:qFormat/>
    <w:rsid w:val="00FB0BAA"/>
    <w:rPr>
      <w:rFonts w:ascii="Tahoma" w:eastAsia="Tahoma" w:hAnsi="Tahoma"/>
      <w:sz w:val="16"/>
      <w:szCs w:val="16"/>
    </w:rPr>
  </w:style>
  <w:style w:type="paragraph" w:styleId="Akapitzlist">
    <w:name w:val="List Paragraph"/>
    <w:basedOn w:val="Normalny"/>
    <w:qFormat/>
    <w:rsid w:val="00FB0BAA"/>
    <w:pPr>
      <w:ind w:left="720"/>
    </w:pPr>
  </w:style>
  <w:style w:type="paragraph" w:customStyle="1" w:styleId="Zawartotabeli">
    <w:name w:val="Zawartość tabeli"/>
    <w:basedOn w:val="Normalny"/>
    <w:qFormat/>
    <w:rsid w:val="00FB0BAA"/>
    <w:pPr>
      <w:suppressLineNumbers/>
    </w:pPr>
  </w:style>
  <w:style w:type="paragraph" w:styleId="Nagwek">
    <w:name w:val="header"/>
    <w:basedOn w:val="Normalny"/>
    <w:qFormat/>
    <w:rsid w:val="00FB0BAA"/>
    <w:pPr>
      <w:widowControl/>
      <w:tabs>
        <w:tab w:val="center" w:pos="4536"/>
        <w:tab w:val="right" w:pos="9072"/>
      </w:tabs>
      <w:suppressAutoHyphens w:val="0"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paragraph" w:styleId="Tekstpodstawowy">
    <w:name w:val="Body Text"/>
    <w:basedOn w:val="Normalny"/>
    <w:rsid w:val="00FB0BAA"/>
    <w:pPr>
      <w:spacing w:after="140" w:line="276" w:lineRule="auto"/>
    </w:pPr>
  </w:style>
  <w:style w:type="paragraph" w:styleId="NormalnyWeb">
    <w:name w:val="Normal (Web)"/>
    <w:basedOn w:val="Normalny"/>
    <w:qFormat/>
    <w:rsid w:val="00FB0BAA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F16B1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F16B19"/>
    <w:rPr>
      <w:rFonts w:cs="Mangal"/>
      <w:szCs w:val="21"/>
    </w:rPr>
  </w:style>
  <w:style w:type="paragraph" w:customStyle="1" w:styleId="Standard">
    <w:name w:val="Standard"/>
    <w:qFormat/>
    <w:rsid w:val="00EF3744"/>
    <w:pPr>
      <w:widowControl w:val="0"/>
      <w:suppressAutoHyphens/>
      <w:autoSpaceDN w:val="0"/>
      <w:textAlignment w:val="auto"/>
    </w:pPr>
    <w:rPr>
      <w:rFonts w:ascii="Calibri" w:eastAsia="Calibri" w:hAnsi="Calibri" w:cs="Calibri"/>
      <w:color w:val="auto"/>
      <w:kern w:val="3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1087</Words>
  <Characters>6523</Characters>
  <Application>Microsoft Office Word</Application>
  <DocSecurity>0</DocSecurity>
  <Lines>54</Lines>
  <Paragraphs>15</Paragraphs>
  <ScaleCrop>false</ScaleCrop>
  <Company/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3</cp:revision>
  <dcterms:created xsi:type="dcterms:W3CDTF">2024-08-27T08:15:00Z</dcterms:created>
  <dcterms:modified xsi:type="dcterms:W3CDTF">2024-08-27T11:53:00Z</dcterms:modified>
  <dc:language>pl-PL</dc:language>
</cp:coreProperties>
</file>