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D061" w14:textId="77777777" w:rsidR="00A33DC5" w:rsidRDefault="00A33DC5" w:rsidP="00A33DC5">
      <w:pPr>
        <w:pStyle w:val="NAZWASST"/>
      </w:pPr>
      <w:bookmarkStart w:id="0" w:name="_Toc58533520"/>
      <w:r>
        <w:t>D – 04.01.01 KORYTO WRAZ Z PROFILOWANIEM I ZAGĘSZCZENIEM PODŁOŻA</w:t>
      </w:r>
      <w:bookmarkEnd w:id="0"/>
    </w:p>
    <w:p w14:paraId="2938E97D" w14:textId="77777777" w:rsidR="00A33DC5" w:rsidRDefault="00A33DC5" w:rsidP="00A33DC5">
      <w:r>
        <w:t>Kod CPV:45111000-8</w:t>
      </w:r>
    </w:p>
    <w:p w14:paraId="0762287F" w14:textId="77777777" w:rsidR="00A33DC5" w:rsidRDefault="00A33DC5" w:rsidP="00A33DC5">
      <w:r>
        <w:t>Roboty w zakresie burzenia, roboty ziemne.</w:t>
      </w:r>
    </w:p>
    <w:p w14:paraId="5BB83992" w14:textId="77777777" w:rsidR="00A33DC5" w:rsidRDefault="00A33DC5" w:rsidP="00A33DC5">
      <w:pPr>
        <w:overflowPunct/>
        <w:autoSpaceDE/>
        <w:adjustRightInd/>
        <w:ind w:firstLine="454"/>
        <w:jc w:val="center"/>
        <w:rPr>
          <w:rFonts w:eastAsia="Calibri"/>
          <w:sz w:val="22"/>
          <w:szCs w:val="22"/>
          <w:lang w:eastAsia="en-US"/>
        </w:rPr>
      </w:pPr>
    </w:p>
    <w:p w14:paraId="45858109" w14:textId="77777777" w:rsidR="00A33DC5" w:rsidRDefault="00A33DC5" w:rsidP="00A33DC5">
      <w:pPr>
        <w:pStyle w:val="Nagwek1"/>
        <w:rPr>
          <w:b/>
        </w:rPr>
      </w:pPr>
      <w:r>
        <w:rPr>
          <w:b/>
          <w:lang w:val="pl-PL"/>
        </w:rPr>
        <w:t xml:space="preserve">1. </w:t>
      </w:r>
      <w:r>
        <w:rPr>
          <w:b/>
        </w:rPr>
        <w:t>wstęp</w:t>
      </w:r>
    </w:p>
    <w:p w14:paraId="2DB41ECC" w14:textId="77777777" w:rsidR="00A33DC5" w:rsidRDefault="00A33DC5" w:rsidP="00A33DC5">
      <w:pPr>
        <w:pStyle w:val="Nagwek2"/>
        <w:rPr>
          <w:b/>
        </w:rPr>
      </w:pPr>
      <w:r>
        <w:rPr>
          <w:b/>
          <w:lang w:val="pl-PL"/>
        </w:rPr>
        <w:t xml:space="preserve">1.1 </w:t>
      </w:r>
      <w:r>
        <w:rPr>
          <w:b/>
        </w:rPr>
        <w:t xml:space="preserve">Przedmiot </w:t>
      </w:r>
      <w:proofErr w:type="spellStart"/>
      <w:r>
        <w:rPr>
          <w:b/>
        </w:rPr>
        <w:t>STWiORB</w:t>
      </w:r>
      <w:proofErr w:type="spellEnd"/>
    </w:p>
    <w:p w14:paraId="720E3A7E" w14:textId="5699138C" w:rsidR="00A33DC5" w:rsidRDefault="00A33DC5" w:rsidP="00A33DC5">
      <w:pPr>
        <w:overflowPunct/>
        <w:autoSpaceDE/>
        <w:adjustRightInd/>
        <w:ind w:firstLine="454"/>
        <w:rPr>
          <w:rFonts w:eastAsia="Calibri"/>
          <w:szCs w:val="22"/>
          <w:lang w:eastAsia="en-US"/>
        </w:rPr>
      </w:pPr>
      <w:r>
        <w:t>Przedmiotem niniejszej szczegółowej specyfikacji technicznej (SST) są wymagania dotyczące wykonania i odbioru robót związanych wykonywaniem koryta</w:t>
      </w:r>
      <w:r w:rsidR="00BE0831">
        <w:t xml:space="preserve"> na poszerzeniu</w:t>
      </w:r>
      <w:r>
        <w:t xml:space="preserve"> wraz z profilowaniem i zagęszczaniem podłoża gruntowego</w:t>
      </w:r>
      <w:r>
        <w:rPr>
          <w:rFonts w:eastAsia="Calibri"/>
          <w:szCs w:val="22"/>
          <w:lang w:eastAsia="en-US"/>
        </w:rPr>
        <w:t>.</w:t>
      </w:r>
    </w:p>
    <w:p w14:paraId="26E6F16E" w14:textId="77777777" w:rsidR="00A33DC5" w:rsidRDefault="00A33DC5" w:rsidP="00A33DC5">
      <w:pPr>
        <w:pStyle w:val="Nagwek2"/>
        <w:rPr>
          <w:b/>
        </w:rPr>
      </w:pPr>
      <w:r>
        <w:rPr>
          <w:b/>
          <w:lang w:val="pl-PL"/>
        </w:rPr>
        <w:t xml:space="preserve">1.2 </w:t>
      </w:r>
      <w:r>
        <w:rPr>
          <w:b/>
        </w:rPr>
        <w:t xml:space="preserve">Zakres stosowania </w:t>
      </w:r>
      <w:proofErr w:type="spellStart"/>
      <w:r>
        <w:rPr>
          <w:b/>
        </w:rPr>
        <w:t>STWiORB</w:t>
      </w:r>
      <w:proofErr w:type="spellEnd"/>
    </w:p>
    <w:p w14:paraId="04C8D3F8" w14:textId="77777777" w:rsidR="00A33DC5" w:rsidRDefault="00A33DC5" w:rsidP="00A33DC5">
      <w:pPr>
        <w:tabs>
          <w:tab w:val="left" w:pos="-1440"/>
          <w:tab w:val="left" w:pos="-720"/>
          <w:tab w:val="left" w:pos="0"/>
        </w:tabs>
        <w:overflowPunct/>
        <w:autoSpaceDE/>
        <w:adjustRightInd/>
        <w:ind w:firstLine="454"/>
        <w:rPr>
          <w:rFonts w:eastAsia="Calibri" w:cs="Arial"/>
          <w:spacing w:val="-3"/>
          <w:szCs w:val="22"/>
          <w:lang w:eastAsia="en-US"/>
        </w:rPr>
      </w:pPr>
      <w:r>
        <w:rPr>
          <w:rFonts w:eastAsia="Calibri" w:cs="Arial"/>
          <w:szCs w:val="22"/>
          <w:lang w:eastAsia="en-US"/>
        </w:rPr>
        <w:t xml:space="preserve">Specyfikacje Techniczne Wykonania i Odbioru Robót Budowlanych </w:t>
      </w:r>
      <w:r>
        <w:rPr>
          <w:rFonts w:eastAsia="Calibri" w:cs="Arial"/>
          <w:spacing w:val="-3"/>
          <w:szCs w:val="22"/>
          <w:lang w:eastAsia="en-US"/>
        </w:rPr>
        <w:t>stanowią Dokument Przetargowy i Kontraktowy przy zlecaniu i realizacji robót na drogach wojewódzkich zarządzanych przez Zarząd Dróg Wojewódzkich w Bydgoszczy.</w:t>
      </w:r>
    </w:p>
    <w:p w14:paraId="27787DC1" w14:textId="77777777" w:rsidR="00A33DC5" w:rsidRDefault="00A33DC5" w:rsidP="00A33DC5">
      <w:pPr>
        <w:tabs>
          <w:tab w:val="left" w:pos="-1440"/>
          <w:tab w:val="left" w:pos="-720"/>
          <w:tab w:val="left" w:pos="0"/>
        </w:tabs>
        <w:overflowPunct/>
        <w:autoSpaceDE/>
        <w:adjustRightInd/>
        <w:ind w:firstLine="454"/>
        <w:rPr>
          <w:rFonts w:eastAsia="Calibri" w:cs="Arial"/>
          <w:spacing w:val="-3"/>
          <w:szCs w:val="22"/>
          <w:lang w:eastAsia="en-US"/>
        </w:rPr>
      </w:pPr>
    </w:p>
    <w:p w14:paraId="547D127B" w14:textId="77777777" w:rsidR="00A33DC5" w:rsidRDefault="00A33DC5" w:rsidP="00A33DC5">
      <w:pPr>
        <w:pStyle w:val="Nagwek2"/>
        <w:rPr>
          <w:b/>
        </w:rPr>
      </w:pPr>
      <w:bookmarkStart w:id="1" w:name="_Toc495829808"/>
      <w:r>
        <w:rPr>
          <w:b/>
        </w:rPr>
        <w:t>1.3. Zakres robót objętych SST</w:t>
      </w:r>
      <w:bookmarkEnd w:id="1"/>
    </w:p>
    <w:p w14:paraId="5D3AC974" w14:textId="1DE4CE33" w:rsidR="00A33DC5" w:rsidRDefault="00A33DC5" w:rsidP="00A33DC5">
      <w:r>
        <w:t>Ustalenia zawarte w niniejszej specyfikacji dotyczą zasad prowadzenia robót związanych z wykonaniem koryta</w:t>
      </w:r>
      <w:r w:rsidR="00BE0831">
        <w:t xml:space="preserve">               -  poszerzenia</w:t>
      </w:r>
      <w:r>
        <w:t xml:space="preserve"> przeznaczonego do ułożenia konstrukcji nawierzchni. </w:t>
      </w:r>
    </w:p>
    <w:p w14:paraId="334F6000" w14:textId="77777777" w:rsidR="00A33DC5" w:rsidRDefault="00A33DC5" w:rsidP="00A33DC5">
      <w:pPr>
        <w:pStyle w:val="Nagwek2"/>
        <w:rPr>
          <w:b/>
        </w:rPr>
      </w:pPr>
      <w:bookmarkStart w:id="2" w:name="_Toc405704476"/>
      <w:bookmarkStart w:id="3" w:name="_Toc405780137"/>
      <w:bookmarkStart w:id="4" w:name="_Toc406913838"/>
      <w:bookmarkStart w:id="5" w:name="_Toc406914083"/>
      <w:bookmarkStart w:id="6" w:name="_Toc406914741"/>
      <w:bookmarkStart w:id="7" w:name="_Toc406915319"/>
      <w:bookmarkStart w:id="8" w:name="_Toc406984012"/>
      <w:bookmarkStart w:id="9" w:name="_Toc406984159"/>
      <w:bookmarkStart w:id="10" w:name="_Toc406984350"/>
      <w:bookmarkStart w:id="11" w:name="_Toc407069558"/>
      <w:bookmarkStart w:id="12" w:name="_Toc407081523"/>
      <w:bookmarkStart w:id="13" w:name="_Toc407083322"/>
      <w:bookmarkStart w:id="14" w:name="_Toc407084156"/>
      <w:bookmarkStart w:id="15" w:name="_Toc407085275"/>
      <w:bookmarkStart w:id="16" w:name="_Toc407085418"/>
      <w:bookmarkStart w:id="17" w:name="_Toc407085561"/>
      <w:bookmarkStart w:id="18" w:name="_Toc407086009"/>
      <w:bookmarkStart w:id="19" w:name="_Toc495829809"/>
      <w:r>
        <w:rPr>
          <w:b/>
        </w:rPr>
        <w:t>1.4. Określenia podstawowe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722B951" w14:textId="77777777" w:rsidR="00A33DC5" w:rsidRDefault="00A33DC5" w:rsidP="00A33DC5">
      <w:r>
        <w:t>Określenia podstawowe są zgodne z obowiązującymi, odpowiednimi polskimi normami i definicjami podanymi w SST D-M-00.00.00 „Wymagania ogólne” pkt 1.4.</w:t>
      </w:r>
    </w:p>
    <w:p w14:paraId="5A2C1FAE" w14:textId="77777777" w:rsidR="00A33DC5" w:rsidRDefault="00A33DC5" w:rsidP="00A33DC5">
      <w:pPr>
        <w:pStyle w:val="Nagwek2"/>
        <w:rPr>
          <w:b/>
        </w:rPr>
      </w:pPr>
      <w:bookmarkStart w:id="20" w:name="_Toc405704477"/>
      <w:bookmarkStart w:id="21" w:name="_Toc405780138"/>
      <w:bookmarkStart w:id="22" w:name="_Toc406913839"/>
      <w:bookmarkStart w:id="23" w:name="_Toc406914084"/>
      <w:bookmarkStart w:id="24" w:name="_Toc406914742"/>
      <w:bookmarkStart w:id="25" w:name="_Toc406915320"/>
      <w:bookmarkStart w:id="26" w:name="_Toc406984013"/>
      <w:bookmarkStart w:id="27" w:name="_Toc406984160"/>
      <w:bookmarkStart w:id="28" w:name="_Toc406984351"/>
      <w:bookmarkStart w:id="29" w:name="_Toc407069559"/>
      <w:bookmarkStart w:id="30" w:name="_Toc407081524"/>
      <w:bookmarkStart w:id="31" w:name="_Toc407083323"/>
      <w:bookmarkStart w:id="32" w:name="_Toc407084157"/>
      <w:bookmarkStart w:id="33" w:name="_Toc407085276"/>
      <w:bookmarkStart w:id="34" w:name="_Toc407085419"/>
      <w:bookmarkStart w:id="35" w:name="_Toc407085562"/>
      <w:bookmarkStart w:id="36" w:name="_Toc407086010"/>
      <w:bookmarkStart w:id="37" w:name="_Toc495829810"/>
      <w:r>
        <w:rPr>
          <w:b/>
        </w:rPr>
        <w:t>1.5. Ogólne wymagania dotyczące robót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9C84C72" w14:textId="77777777" w:rsidR="00A33DC5" w:rsidRDefault="00A33DC5" w:rsidP="00A33DC5">
      <w:r>
        <w:t>Ogólne wymagania dotyczące robót podano w SST D-M-00.00.00 „Wymagania ogólne” pkt 1.5.</w:t>
      </w:r>
    </w:p>
    <w:p w14:paraId="4429A361" w14:textId="77777777" w:rsidR="00A33DC5" w:rsidRDefault="00A33DC5" w:rsidP="00A33DC5">
      <w:pPr>
        <w:pStyle w:val="Nagwek1"/>
        <w:rPr>
          <w:b/>
        </w:rPr>
      </w:pPr>
      <w:bookmarkStart w:id="38" w:name="_Toc406913840"/>
      <w:bookmarkStart w:id="39" w:name="_Toc406914085"/>
      <w:bookmarkStart w:id="40" w:name="_Toc406914743"/>
      <w:bookmarkStart w:id="41" w:name="_Toc406915321"/>
      <w:bookmarkStart w:id="42" w:name="_Toc406984014"/>
      <w:bookmarkStart w:id="43" w:name="_Toc406984161"/>
      <w:bookmarkStart w:id="44" w:name="_Toc406984352"/>
      <w:bookmarkStart w:id="45" w:name="_Toc407069560"/>
      <w:bookmarkStart w:id="46" w:name="_Toc407081525"/>
      <w:bookmarkStart w:id="47" w:name="_Toc407083324"/>
      <w:bookmarkStart w:id="48" w:name="_Toc407084158"/>
      <w:bookmarkStart w:id="49" w:name="_Toc407085277"/>
      <w:bookmarkStart w:id="50" w:name="_Toc407085420"/>
      <w:bookmarkStart w:id="51" w:name="_Toc407085563"/>
      <w:bookmarkStart w:id="52" w:name="_Toc407086011"/>
      <w:bookmarkStart w:id="53" w:name="_Toc495829811"/>
      <w:r>
        <w:rPr>
          <w:b/>
        </w:rPr>
        <w:t>2. materiały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C6DA4A5" w14:textId="77777777" w:rsidR="00A33DC5" w:rsidRDefault="00A33DC5" w:rsidP="00A33DC5">
      <w:r>
        <w:t>Nie występują.</w:t>
      </w:r>
    </w:p>
    <w:p w14:paraId="655210B3" w14:textId="77777777" w:rsidR="00A33DC5" w:rsidRDefault="00A33DC5" w:rsidP="00A33DC5">
      <w:pPr>
        <w:pStyle w:val="Nagwek1"/>
        <w:rPr>
          <w:b/>
        </w:rPr>
      </w:pPr>
      <w:bookmarkStart w:id="54" w:name="_Toc406913841"/>
      <w:bookmarkStart w:id="55" w:name="_Toc406914086"/>
      <w:bookmarkStart w:id="56" w:name="_Toc406914744"/>
      <w:bookmarkStart w:id="57" w:name="_Toc406915322"/>
      <w:bookmarkStart w:id="58" w:name="_Toc406984015"/>
      <w:bookmarkStart w:id="59" w:name="_Toc406984162"/>
      <w:bookmarkStart w:id="60" w:name="_Toc406984353"/>
      <w:bookmarkStart w:id="61" w:name="_Toc407069561"/>
      <w:bookmarkStart w:id="62" w:name="_Toc407081526"/>
      <w:bookmarkStart w:id="63" w:name="_Toc407083325"/>
      <w:bookmarkStart w:id="64" w:name="_Toc407084159"/>
      <w:bookmarkStart w:id="65" w:name="_Toc407085278"/>
      <w:bookmarkStart w:id="66" w:name="_Toc407085421"/>
      <w:bookmarkStart w:id="67" w:name="_Toc407085564"/>
      <w:bookmarkStart w:id="68" w:name="_Toc407086012"/>
      <w:bookmarkStart w:id="69" w:name="_Toc495829812"/>
      <w:r>
        <w:rPr>
          <w:b/>
        </w:rPr>
        <w:t>3. sprzęt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8579D2A" w14:textId="77777777" w:rsidR="00A33DC5" w:rsidRDefault="00A33DC5" w:rsidP="00A33DC5">
      <w:pPr>
        <w:pStyle w:val="Nagwek2"/>
        <w:rPr>
          <w:b/>
        </w:rPr>
      </w:pPr>
      <w:bookmarkStart w:id="70" w:name="_Toc406913842"/>
      <w:bookmarkStart w:id="71" w:name="_Toc406914087"/>
      <w:bookmarkStart w:id="72" w:name="_Toc406914745"/>
      <w:bookmarkStart w:id="73" w:name="_Toc406915323"/>
      <w:bookmarkStart w:id="74" w:name="_Toc406984016"/>
      <w:bookmarkStart w:id="75" w:name="_Toc406984163"/>
      <w:bookmarkStart w:id="76" w:name="_Toc406984354"/>
      <w:bookmarkStart w:id="77" w:name="_Toc407069562"/>
      <w:bookmarkStart w:id="78" w:name="_Toc407081527"/>
      <w:bookmarkStart w:id="79" w:name="_Toc407083326"/>
      <w:bookmarkStart w:id="80" w:name="_Toc407084160"/>
      <w:bookmarkStart w:id="81" w:name="_Toc407085279"/>
      <w:bookmarkStart w:id="82" w:name="_Toc407085422"/>
      <w:bookmarkStart w:id="83" w:name="_Toc407085565"/>
      <w:bookmarkStart w:id="84" w:name="_Toc407086013"/>
      <w:bookmarkStart w:id="85" w:name="_Toc495829813"/>
      <w:r>
        <w:rPr>
          <w:b/>
        </w:rPr>
        <w:t>3.1. Ogólne wymagania dotyczące sprzętu</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4350A94" w14:textId="77777777" w:rsidR="00A33DC5" w:rsidRDefault="00A33DC5" w:rsidP="00A33DC5">
      <w:r>
        <w:t>Ogólne wymagania dotyczące sprzętu podano w SST D-M-00.00.00 „Wymagania ogólne” pkt 3.</w:t>
      </w:r>
    </w:p>
    <w:p w14:paraId="31E3C40E" w14:textId="77777777" w:rsidR="00A33DC5" w:rsidRDefault="00A33DC5" w:rsidP="00A33DC5">
      <w:pPr>
        <w:pStyle w:val="Nagwek2"/>
        <w:rPr>
          <w:b/>
        </w:rPr>
      </w:pPr>
      <w:bookmarkStart w:id="86" w:name="_Toc406913843"/>
      <w:bookmarkStart w:id="87" w:name="_Toc406914088"/>
      <w:bookmarkStart w:id="88" w:name="_Toc406914746"/>
      <w:bookmarkStart w:id="89" w:name="_Toc406915324"/>
      <w:bookmarkStart w:id="90" w:name="_Toc406984017"/>
      <w:bookmarkStart w:id="91" w:name="_Toc406984164"/>
      <w:bookmarkStart w:id="92" w:name="_Toc406984355"/>
      <w:bookmarkStart w:id="93" w:name="_Toc407069563"/>
      <w:bookmarkStart w:id="94" w:name="_Toc407081528"/>
      <w:bookmarkStart w:id="95" w:name="_Toc407083327"/>
      <w:bookmarkStart w:id="96" w:name="_Toc407084161"/>
      <w:bookmarkStart w:id="97" w:name="_Toc407085280"/>
      <w:bookmarkStart w:id="98" w:name="_Toc407085423"/>
      <w:bookmarkStart w:id="99" w:name="_Toc407085566"/>
      <w:bookmarkStart w:id="100" w:name="_Toc407086014"/>
      <w:bookmarkStart w:id="101" w:name="_Toc495829814"/>
      <w:r>
        <w:rPr>
          <w:b/>
        </w:rPr>
        <w:t>3.2. Sprzęt do wykonania robót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9E52355" w14:textId="77777777" w:rsidR="00A33DC5" w:rsidRDefault="00A33DC5" w:rsidP="00A33DC5">
      <w:r>
        <w:t>Wykonawca przystępujący do wykonania koryta i profilowania podłoża powinien wykazać się możliwością korzystania z następującego sprzętu:</w:t>
      </w:r>
    </w:p>
    <w:p w14:paraId="368929FA" w14:textId="77777777" w:rsidR="00A33DC5" w:rsidRDefault="00A33DC5" w:rsidP="00A33DC5">
      <w:pPr>
        <w:pStyle w:val="Nagwek8"/>
      </w:pPr>
      <w:r>
        <w:t>równiarek lub spycharek uniwersalnych z ukośnie ustawianym lemieszem; Inżynier może dopuścić wykonanie koryta i profilowanie podłoża z zastosowaniem spycharki z lemieszem ustawionym prostopadle do kierunku pracy maszyny,</w:t>
      </w:r>
    </w:p>
    <w:p w14:paraId="471C3B34" w14:textId="6DC74D78" w:rsidR="00A33DC5" w:rsidRDefault="00A33DC5" w:rsidP="00A33DC5">
      <w:pPr>
        <w:pStyle w:val="Nagwek8"/>
      </w:pPr>
      <w:r>
        <w:t>koparek z czerpakami profilowymi (przy wykonywaniu wąskich koryt),</w:t>
      </w:r>
    </w:p>
    <w:p w14:paraId="11F3F7B9" w14:textId="63DDC59B" w:rsidR="00BE0831" w:rsidRPr="00BE0831" w:rsidRDefault="00BE0831" w:rsidP="00BE0831">
      <w:pPr>
        <w:rPr>
          <w:lang w:eastAsia="x-none"/>
        </w:rPr>
      </w:pPr>
      <w:r w:rsidRPr="00BE0831">
        <w:rPr>
          <w:sz w:val="28"/>
          <w:szCs w:val="28"/>
          <w:lang w:val="x-none" w:eastAsia="x-none"/>
        </w:rPr>
        <w:t>•</w:t>
      </w:r>
      <w:r>
        <w:rPr>
          <w:lang w:eastAsia="x-none"/>
        </w:rPr>
        <w:t xml:space="preserve">  frezarek do wykonania koryta w poboczu</w:t>
      </w:r>
    </w:p>
    <w:p w14:paraId="21181C80" w14:textId="77777777" w:rsidR="00A33DC5" w:rsidRDefault="00A33DC5" w:rsidP="00A33DC5">
      <w:pPr>
        <w:pStyle w:val="Nagwek8"/>
      </w:pPr>
      <w:r>
        <w:t>walców statycznych, wibracyjnych lub płyt wibracyjnych.</w:t>
      </w:r>
    </w:p>
    <w:p w14:paraId="350A0F7A" w14:textId="77777777" w:rsidR="00A33DC5" w:rsidRDefault="00A33DC5" w:rsidP="00A33DC5">
      <w:r>
        <w:t>Stosowany sprzęt nie może spowodować niekorzystnego wpływu na właściwości gruntu podłoża.</w:t>
      </w:r>
    </w:p>
    <w:p w14:paraId="5E007EE7" w14:textId="77777777" w:rsidR="00A33DC5" w:rsidRDefault="00A33DC5" w:rsidP="00A33DC5">
      <w:pPr>
        <w:pStyle w:val="Nagwek1"/>
        <w:rPr>
          <w:b/>
        </w:rPr>
      </w:pPr>
      <w:bookmarkStart w:id="102" w:name="_Toc406913844"/>
      <w:bookmarkStart w:id="103" w:name="_Toc406914089"/>
      <w:bookmarkStart w:id="104" w:name="_Toc406914747"/>
      <w:bookmarkStart w:id="105" w:name="_Toc406915325"/>
      <w:bookmarkStart w:id="106" w:name="_Toc406984018"/>
      <w:bookmarkStart w:id="107" w:name="_Toc406984165"/>
      <w:bookmarkStart w:id="108" w:name="_Toc406984356"/>
      <w:bookmarkStart w:id="109" w:name="_Toc407069564"/>
      <w:bookmarkStart w:id="110" w:name="_Toc407081529"/>
      <w:bookmarkStart w:id="111" w:name="_Toc407083328"/>
      <w:bookmarkStart w:id="112" w:name="_Toc407084162"/>
      <w:bookmarkStart w:id="113" w:name="_Toc407085281"/>
      <w:bookmarkStart w:id="114" w:name="_Toc407085424"/>
      <w:bookmarkStart w:id="115" w:name="_Toc407085567"/>
      <w:bookmarkStart w:id="116" w:name="_Toc407086015"/>
      <w:bookmarkStart w:id="117" w:name="_Toc495829815"/>
      <w:r>
        <w:rPr>
          <w:b/>
        </w:rPr>
        <w:t>4. transport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4115DFA" w14:textId="77777777" w:rsidR="00A33DC5" w:rsidRDefault="00A33DC5" w:rsidP="00A33DC5">
      <w:pPr>
        <w:pStyle w:val="Nagwek2"/>
        <w:rPr>
          <w:b/>
        </w:rPr>
      </w:pPr>
      <w:bookmarkStart w:id="118" w:name="_Toc406913845"/>
      <w:bookmarkStart w:id="119" w:name="_Toc406914090"/>
      <w:bookmarkStart w:id="120" w:name="_Toc406914748"/>
      <w:bookmarkStart w:id="121" w:name="_Toc406915326"/>
      <w:bookmarkStart w:id="122" w:name="_Toc406984019"/>
      <w:bookmarkStart w:id="123" w:name="_Toc406984166"/>
      <w:bookmarkStart w:id="124" w:name="_Toc406984357"/>
      <w:bookmarkStart w:id="125" w:name="_Toc407069565"/>
      <w:bookmarkStart w:id="126" w:name="_Toc407081530"/>
      <w:bookmarkStart w:id="127" w:name="_Toc407083329"/>
      <w:bookmarkStart w:id="128" w:name="_Toc407084163"/>
      <w:bookmarkStart w:id="129" w:name="_Toc407085282"/>
      <w:bookmarkStart w:id="130" w:name="_Toc407085425"/>
      <w:bookmarkStart w:id="131" w:name="_Toc407085568"/>
      <w:bookmarkStart w:id="132" w:name="_Toc407086016"/>
      <w:bookmarkStart w:id="133" w:name="_Toc495829816"/>
      <w:r>
        <w:rPr>
          <w:b/>
        </w:rPr>
        <w:t>4.1. Ogólne wymagania dotyczące transportu</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94F158A" w14:textId="77777777" w:rsidR="00A33DC5" w:rsidRDefault="00A33DC5" w:rsidP="00A33DC5">
      <w:bookmarkStart w:id="134" w:name="_Toc406822326"/>
      <w:bookmarkStart w:id="135" w:name="_Toc406913846"/>
      <w:bookmarkStart w:id="136" w:name="_Toc406914091"/>
      <w:r>
        <w:t>Nie występują.</w:t>
      </w:r>
      <w:bookmarkEnd w:id="134"/>
      <w:bookmarkEnd w:id="135"/>
      <w:bookmarkEnd w:id="136"/>
    </w:p>
    <w:p w14:paraId="29FA212E" w14:textId="77777777" w:rsidR="00A33DC5" w:rsidRDefault="00A33DC5" w:rsidP="00A33DC5">
      <w:pPr>
        <w:pStyle w:val="Nagwek2"/>
        <w:rPr>
          <w:b/>
        </w:rPr>
      </w:pPr>
      <w:bookmarkStart w:id="137" w:name="_Toc406913847"/>
      <w:bookmarkStart w:id="138" w:name="_Toc406914092"/>
      <w:bookmarkStart w:id="139" w:name="_Toc406914749"/>
      <w:bookmarkStart w:id="140" w:name="_Toc406915327"/>
      <w:bookmarkStart w:id="141" w:name="_Toc406984020"/>
      <w:bookmarkStart w:id="142" w:name="_Toc406984167"/>
      <w:bookmarkStart w:id="143" w:name="_Toc406984358"/>
      <w:bookmarkStart w:id="144" w:name="_Toc407069566"/>
      <w:bookmarkStart w:id="145" w:name="_Toc407081531"/>
      <w:bookmarkStart w:id="146" w:name="_Toc407083330"/>
      <w:bookmarkStart w:id="147" w:name="_Toc407084164"/>
      <w:bookmarkStart w:id="148" w:name="_Toc407085283"/>
      <w:bookmarkStart w:id="149" w:name="_Toc407085426"/>
      <w:bookmarkStart w:id="150" w:name="_Toc407085569"/>
      <w:bookmarkStart w:id="151" w:name="_Toc407086017"/>
      <w:bookmarkStart w:id="152" w:name="_Toc495829817"/>
      <w:r>
        <w:rPr>
          <w:b/>
        </w:rPr>
        <w:t>4.2. Transport materiałów</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BD7B793" w14:textId="77777777" w:rsidR="00A33DC5" w:rsidRDefault="00A33DC5" w:rsidP="00A33DC5">
      <w:r>
        <w:t>Nie występują.</w:t>
      </w:r>
    </w:p>
    <w:p w14:paraId="1DAA88C0" w14:textId="77777777" w:rsidR="00A33DC5" w:rsidRDefault="00A33DC5" w:rsidP="00A33DC5">
      <w:pPr>
        <w:pStyle w:val="Nagwek1"/>
        <w:rPr>
          <w:b/>
        </w:rPr>
      </w:pPr>
      <w:bookmarkStart w:id="153" w:name="_Toc406913849"/>
      <w:bookmarkStart w:id="154" w:name="_Toc406914094"/>
      <w:bookmarkStart w:id="155" w:name="_Toc406914750"/>
      <w:bookmarkStart w:id="156" w:name="_Toc406915328"/>
      <w:bookmarkStart w:id="157" w:name="_Toc406984021"/>
      <w:bookmarkStart w:id="158" w:name="_Toc406984168"/>
      <w:bookmarkStart w:id="159" w:name="_Toc406984359"/>
      <w:bookmarkStart w:id="160" w:name="_Toc407069567"/>
      <w:bookmarkStart w:id="161" w:name="_Toc407081532"/>
      <w:bookmarkStart w:id="162" w:name="_Toc407083331"/>
      <w:bookmarkStart w:id="163" w:name="_Toc407084165"/>
      <w:bookmarkStart w:id="164" w:name="_Toc407085284"/>
      <w:bookmarkStart w:id="165" w:name="_Toc407085427"/>
      <w:bookmarkStart w:id="166" w:name="_Toc407085570"/>
      <w:bookmarkStart w:id="167" w:name="_Toc407086018"/>
      <w:bookmarkStart w:id="168" w:name="_Toc495829818"/>
      <w:r>
        <w:rPr>
          <w:b/>
        </w:rPr>
        <w:t>5. wykonanie robót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24CFB74" w14:textId="77777777" w:rsidR="00A33DC5" w:rsidRDefault="00A33DC5" w:rsidP="00A33DC5">
      <w:pPr>
        <w:pStyle w:val="Nagwek2"/>
        <w:rPr>
          <w:b/>
        </w:rPr>
      </w:pPr>
      <w:bookmarkStart w:id="169" w:name="_Toc406913850"/>
      <w:bookmarkStart w:id="170" w:name="_Toc406914095"/>
      <w:bookmarkStart w:id="171" w:name="_Toc406914751"/>
      <w:bookmarkStart w:id="172" w:name="_Toc406915329"/>
      <w:bookmarkStart w:id="173" w:name="_Toc406984022"/>
      <w:bookmarkStart w:id="174" w:name="_Toc406984169"/>
      <w:bookmarkStart w:id="175" w:name="_Toc406984360"/>
      <w:bookmarkStart w:id="176" w:name="_Toc407069568"/>
      <w:bookmarkStart w:id="177" w:name="_Toc407081533"/>
      <w:bookmarkStart w:id="178" w:name="_Toc407083332"/>
      <w:bookmarkStart w:id="179" w:name="_Toc407084166"/>
      <w:bookmarkStart w:id="180" w:name="_Toc407085285"/>
      <w:bookmarkStart w:id="181" w:name="_Toc407085428"/>
      <w:bookmarkStart w:id="182" w:name="_Toc407085571"/>
      <w:bookmarkStart w:id="183" w:name="_Toc407086019"/>
      <w:bookmarkStart w:id="184" w:name="_Toc495829819"/>
      <w:r>
        <w:rPr>
          <w:b/>
        </w:rPr>
        <w:t>5.1. Ogólne zasady wykonania robót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E57527A" w14:textId="77777777" w:rsidR="00A33DC5" w:rsidRDefault="00A33DC5" w:rsidP="00A33DC5">
      <w:bookmarkStart w:id="185" w:name="_Toc406822331"/>
      <w:bookmarkStart w:id="186" w:name="_Toc406913851"/>
      <w:bookmarkStart w:id="187" w:name="_Toc406914096"/>
      <w:r>
        <w:t>Ogólne zasady wykonania robót podano w SST D-M-00.00.00 „Wymagania ogólne” pkt 5.</w:t>
      </w:r>
      <w:bookmarkEnd w:id="185"/>
      <w:bookmarkEnd w:id="186"/>
      <w:bookmarkEnd w:id="187"/>
    </w:p>
    <w:p w14:paraId="0703FB26" w14:textId="77777777" w:rsidR="00A33DC5" w:rsidRDefault="00A33DC5" w:rsidP="00A33DC5">
      <w:pPr>
        <w:pStyle w:val="Nagwek2"/>
        <w:rPr>
          <w:b/>
        </w:rPr>
      </w:pPr>
      <w:bookmarkStart w:id="188" w:name="_Toc495829820"/>
      <w:bookmarkStart w:id="189" w:name="_Toc406913852"/>
      <w:bookmarkStart w:id="190" w:name="_Toc406914097"/>
      <w:bookmarkStart w:id="191" w:name="_Toc406914752"/>
      <w:bookmarkStart w:id="192" w:name="_Toc406915330"/>
      <w:bookmarkStart w:id="193" w:name="_Toc406984023"/>
      <w:bookmarkStart w:id="194" w:name="_Toc406984170"/>
      <w:bookmarkStart w:id="195" w:name="_Toc406984361"/>
      <w:bookmarkStart w:id="196" w:name="_Toc407069569"/>
      <w:bookmarkStart w:id="197" w:name="_Toc407081534"/>
      <w:bookmarkStart w:id="198" w:name="_Toc407083333"/>
      <w:bookmarkStart w:id="199" w:name="_Toc407084167"/>
      <w:bookmarkStart w:id="200" w:name="_Toc407085286"/>
      <w:bookmarkStart w:id="201" w:name="_Toc407085429"/>
      <w:bookmarkStart w:id="202" w:name="_Toc407085572"/>
      <w:bookmarkStart w:id="203" w:name="_Toc407086020"/>
      <w:r>
        <w:rPr>
          <w:b/>
        </w:rPr>
        <w:t>5.2. Zakres wykonywanych robót</w:t>
      </w:r>
      <w:bookmarkEnd w:id="188"/>
    </w:p>
    <w:p w14:paraId="3EC698B4" w14:textId="77777777" w:rsidR="00A33DC5" w:rsidRDefault="00A33DC5" w:rsidP="00A33DC5">
      <w:pPr>
        <w:pStyle w:val="Nagwek3"/>
        <w:rPr>
          <w:b/>
        </w:rPr>
      </w:pPr>
      <w:r>
        <w:rPr>
          <w:b/>
        </w:rPr>
        <w:t>5.2.1. Zasady ogólne</w:t>
      </w:r>
    </w:p>
    <w:p w14:paraId="63DCF832"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Wykonawca może przystąpić do profilowania i zagęszczenia podłoża dopiero po zakończeniu i odebraniu robót związanych z wykonaniem elementów odwodnienia i instalacji urządzeń podziemnych w korpusie ziemnym. Wykonawca powinien przystąpić do wykonywania koryta oraz profilowania i zagęszczenia podłoża bezpośrednio przed rozpoczęciem robot związanych z wykonaniem warstw nawierzchni. Wcześniejsze przystąpienie do wykonania koryta oraz profilowania i zagęszczenia podłoża i wykonywanie tych robót z wyprzedzeniem jest możliwe wyłącznie za zgodą Inspektora Nadzoru Inwestorskiego, w korzystnych warunkach atmosferycznych.</w:t>
      </w:r>
    </w:p>
    <w:p w14:paraId="2F2A88F5"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W wyprofilowanym i zagęszczonym podłożu nie może odbywać się ruch budowlany, niezwiązany bezpośrednio z wykonaniem pierwszej warstwy nawierzchni.</w:t>
      </w:r>
    </w:p>
    <w:p w14:paraId="0DD4DCF9" w14:textId="77777777" w:rsidR="00A33DC5" w:rsidRDefault="00A33DC5" w:rsidP="00A33DC5">
      <w:pPr>
        <w:pStyle w:val="Nagwek3"/>
        <w:rPr>
          <w:b/>
        </w:rPr>
      </w:pPr>
      <w:r>
        <w:rPr>
          <w:b/>
        </w:rPr>
        <w:lastRenderedPageBreak/>
        <w:t>5.2.2. Profilowanie podłoża</w:t>
      </w:r>
    </w:p>
    <w:p w14:paraId="3A2DF840"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Przed przystąpieniem do profilowania podłoże powinno być oczyszczone ze wszelkich zanieczyszczeń. Należy usunąć błoto i grunt, który uległ nadmiernemu nawilgoceniu.</w:t>
      </w:r>
    </w:p>
    <w:p w14:paraId="10998725"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Po oczyszczeniu powierzchni podłoża, które ma być profilowane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p.5.2.5. Jeżeli rzędne podłoża przed profilowaniem nie wymagają dowiezienia i wbudowania dodatkowego gruntu, to przed przystąpieniem do profilowania oczyszczonego podłoża jego powierzchnię należy dogęścić 3</w:t>
      </w:r>
      <w:r>
        <w:rPr>
          <w:rFonts w:cs="Arial"/>
        </w:rPr>
        <w:noBreakHyphen/>
        <w:t>4 przejściami średniego walca stalowego, gładkiego lub w inny sposób zaakceptowany przez Inspektora Nadzoru Inwestorskiego. Do profilowania podłoża należy stosować równiarki. Ścięty grunt powinien być wykorzystany w robotach ziemnych lub w inny sposób zaakceptowany przez Inspektora Nadzoru Inwestorskiego.</w:t>
      </w:r>
    </w:p>
    <w:p w14:paraId="6CE24C63" w14:textId="77777777" w:rsidR="00A33DC5" w:rsidRDefault="00A33DC5" w:rsidP="00A33DC5">
      <w:pPr>
        <w:pStyle w:val="Nagwek3"/>
        <w:rPr>
          <w:b/>
        </w:rPr>
      </w:pPr>
      <w:r>
        <w:rPr>
          <w:b/>
        </w:rPr>
        <w:t>5.2.3. Zagęszczanie podłoża</w:t>
      </w:r>
    </w:p>
    <w:p w14:paraId="409969C7"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Bezpośrednio po profilowaniu podłoża należy przystąpić do jego dogęszczenia przez wałowanie. Jakiekolwiek nierówności powstałe przy zagęszczaniu powinny być naprawione przez Wykonawcę w sposób zaakceptowany przez Inspektora Nadzoru Inwestorskiego.</w:t>
      </w:r>
    </w:p>
    <w:p w14:paraId="587BBBDA"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Zagęszczenie podłoża należy kontrolować według normalnej próby </w:t>
      </w:r>
      <w:proofErr w:type="spellStart"/>
      <w:r>
        <w:rPr>
          <w:rFonts w:cs="Arial"/>
        </w:rPr>
        <w:t>Proctora</w:t>
      </w:r>
      <w:proofErr w:type="spellEnd"/>
      <w:r>
        <w:rPr>
          <w:rFonts w:cs="Arial"/>
        </w:rPr>
        <w:t>, przeprowadzonej zgodnie z PN</w:t>
      </w:r>
      <w:r>
        <w:rPr>
          <w:rFonts w:cs="Arial"/>
        </w:rPr>
        <w:noBreakHyphen/>
        <w:t>88/B</w:t>
      </w:r>
      <w:r>
        <w:rPr>
          <w:rFonts w:cs="Arial"/>
        </w:rPr>
        <w:noBreakHyphen/>
        <w:t>04481 (metoda I). Wskaźnik zagęszczenia należy określić zgodnie z BN</w:t>
      </w:r>
      <w:r>
        <w:rPr>
          <w:rFonts w:cs="Arial"/>
        </w:rPr>
        <w:noBreakHyphen/>
        <w:t>77/8931</w:t>
      </w:r>
      <w:r>
        <w:rPr>
          <w:rFonts w:cs="Arial"/>
        </w:rPr>
        <w:noBreakHyphen/>
        <w:t>12. Minimalną wartość wskaźnika zagęszczenia podano w tablicy p.5.2.4.</w:t>
      </w:r>
    </w:p>
    <w:p w14:paraId="1DE27BC1"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Wilgotność gruntu podłoża przy zagęszczeniu nie powinna różnić się od wilgotności optymalnej o więcej niż (wg [4]):</w:t>
      </w:r>
    </w:p>
    <w:p w14:paraId="14B261A0" w14:textId="77777777" w:rsidR="00A33DC5" w:rsidRDefault="00A33DC5" w:rsidP="00A33DC5">
      <w:pPr>
        <w:pStyle w:val="Nagwek8"/>
      </w:pPr>
      <w:r>
        <w:t>w gruntach niespoistych ±2,0%,</w:t>
      </w:r>
    </w:p>
    <w:p w14:paraId="1A57E7AE" w14:textId="77777777" w:rsidR="00A33DC5" w:rsidRDefault="00A33DC5" w:rsidP="00A33DC5">
      <w:pPr>
        <w:pStyle w:val="Nagwek8"/>
      </w:pPr>
      <w:r>
        <w:t>w gruntach mało i średnio spoistych + 0% i -2%.</w:t>
      </w:r>
    </w:p>
    <w:p w14:paraId="395FCCA9" w14:textId="77777777" w:rsidR="00A33DC5" w:rsidRDefault="00A33DC5" w:rsidP="00A33DC5">
      <w:pPr>
        <w:pStyle w:val="Nagwek3"/>
        <w:rPr>
          <w:b/>
        </w:rPr>
      </w:pPr>
      <w:r>
        <w:rPr>
          <w:b/>
        </w:rPr>
        <w:t>5.2.4 Utrzymanie koryta oraz wyprofilowanego i zagęszczonego podłoża</w:t>
      </w:r>
    </w:p>
    <w:p w14:paraId="2B3B500E"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w:t>
      </w:r>
    </w:p>
    <w:p w14:paraId="1D7AE8B4"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Do profilowania podłoża należy stosować równiarki. Ścięty grunt powinien być wykorzystany w robotach ziemnych lub w inny sposób zaakceptowany przez Inżyniera. </w:t>
      </w:r>
    </w:p>
    <w:p w14:paraId="0F3DFD09"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Bezpośrednio po profilowaniu podłoża należy przystąpić do jego zagęszczania. Zagęszczanie podłoża należy kontynuować do osiągnięcia wskaźnika zagęszczenia nie mniejszego od podanego w tablicy 1. Wskaźnik zagęszczenia należy określać zgodnie z PN-S-02205[3]. </w:t>
      </w:r>
    </w:p>
    <w:p w14:paraId="58210C39"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Na gruncie zakwalifikowanym do:</w:t>
      </w:r>
    </w:p>
    <w:p w14:paraId="06DECB44" w14:textId="77777777" w:rsidR="00A33DC5" w:rsidRDefault="00A33DC5" w:rsidP="00A33DC5">
      <w:pPr>
        <w:pStyle w:val="Nagwek8"/>
      </w:pPr>
      <w:r>
        <w:t>G2 należy uzyskać wtórny moduł odkształcenia E2 &gt;50MPa,</w:t>
      </w:r>
    </w:p>
    <w:p w14:paraId="2C289A0A" w14:textId="77777777" w:rsidR="00A33DC5" w:rsidRDefault="00A33DC5" w:rsidP="00A33DC5">
      <w:pPr>
        <w:pStyle w:val="Nagwek8"/>
      </w:pPr>
      <w:r>
        <w:t>G3 należy uzyskać wtórny moduł odkształcenia E2 &gt;35MPa,</w:t>
      </w:r>
    </w:p>
    <w:p w14:paraId="2CAA3D29" w14:textId="77777777" w:rsidR="00A33DC5" w:rsidRDefault="00A33DC5" w:rsidP="00A33DC5">
      <w:pPr>
        <w:pStyle w:val="Nagwek8"/>
      </w:pPr>
      <w:r>
        <w:t>G4 należy uzyskać wtórny moduł odkształcenia E2 &gt;25MPa,</w:t>
      </w:r>
    </w:p>
    <w:p w14:paraId="19F92B55"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Wzmocnienie gruntu o mniejszej nośności podlega indywidualnej ocenie a zakres robót określi inżynier kontraktu. </w:t>
      </w:r>
    </w:p>
    <w:p w14:paraId="070022C4"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W przypadku nasypów nośność górnej warstwy nasypu (GWN) określona na podstawie pomiaru wtórnego modułu odkształcenia E2 zgodnie z PN-02205:1998 [4] rysunek 3 powinna wynosić 80 </w:t>
      </w:r>
      <w:proofErr w:type="spellStart"/>
      <w:r>
        <w:rPr>
          <w:rFonts w:cs="Arial"/>
        </w:rPr>
        <w:t>MPa</w:t>
      </w:r>
      <w:proofErr w:type="spellEnd"/>
      <w:r>
        <w:rPr>
          <w:rFonts w:cs="Arial"/>
        </w:rPr>
        <w:t xml:space="preserve"> i odpowiadać grupie nośności podłoża G1. </w:t>
      </w:r>
    </w:p>
    <w:p w14:paraId="2B42663D"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p>
    <w:p w14:paraId="2D58EC02"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p>
    <w:p w14:paraId="4762C4E5"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Tablica 1. Minimalne wartości wskaźnika zagęszczenia podłoża (I</w:t>
      </w:r>
      <w:r>
        <w:rPr>
          <w:rFonts w:cs="Arial"/>
          <w:position w:val="-7"/>
        </w:rPr>
        <w:t>s</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825"/>
        <w:gridCol w:w="851"/>
        <w:gridCol w:w="1154"/>
      </w:tblGrid>
      <w:tr w:rsidR="00A33DC5" w14:paraId="6B93E022" w14:textId="77777777" w:rsidTr="00A33DC5">
        <w:trPr>
          <w:cantSplit/>
          <w:trHeight w:val="337"/>
          <w:jc w:val="center"/>
        </w:trPr>
        <w:tc>
          <w:tcPr>
            <w:tcW w:w="6825" w:type="dxa"/>
            <w:vMerge w:val="restart"/>
            <w:tcBorders>
              <w:top w:val="single" w:sz="4" w:space="0" w:color="auto"/>
              <w:left w:val="single" w:sz="4" w:space="0" w:color="auto"/>
              <w:bottom w:val="single" w:sz="4" w:space="0" w:color="auto"/>
              <w:right w:val="single" w:sz="4" w:space="0" w:color="auto"/>
            </w:tcBorders>
            <w:vAlign w:val="center"/>
            <w:hideMark/>
          </w:tcPr>
          <w:p w14:paraId="33285990" w14:textId="77777777" w:rsidR="00A33DC5" w:rsidRDefault="00A33DC5">
            <w:pPr>
              <w:pStyle w:val="Bezodstpw"/>
              <w:rPr>
                <w:rFonts w:cs="Times New Roman"/>
              </w:rPr>
            </w:pPr>
            <w:r>
              <w:t>Strefa korpusu</w:t>
            </w:r>
          </w:p>
        </w:tc>
        <w:tc>
          <w:tcPr>
            <w:tcW w:w="2005" w:type="dxa"/>
            <w:gridSpan w:val="2"/>
            <w:tcBorders>
              <w:top w:val="single" w:sz="4" w:space="0" w:color="auto"/>
              <w:left w:val="single" w:sz="4" w:space="0" w:color="auto"/>
              <w:bottom w:val="single" w:sz="4" w:space="0" w:color="auto"/>
              <w:right w:val="single" w:sz="4" w:space="0" w:color="auto"/>
            </w:tcBorders>
            <w:hideMark/>
          </w:tcPr>
          <w:p w14:paraId="2E00B105" w14:textId="77777777" w:rsidR="00A33DC5" w:rsidRDefault="00A33DC5">
            <w:pPr>
              <w:pStyle w:val="Bezodstpw"/>
            </w:pPr>
            <w:r>
              <w:t>Minimalna wartość I</w:t>
            </w:r>
            <w:r>
              <w:rPr>
                <w:position w:val="-6"/>
              </w:rPr>
              <w:t>s</w:t>
            </w:r>
          </w:p>
        </w:tc>
      </w:tr>
      <w:tr w:rsidR="00A33DC5" w14:paraId="0C7E6EA5" w14:textId="77777777" w:rsidTr="00A33DC5">
        <w:trPr>
          <w:cantSplit/>
          <w:trHeight w:val="200"/>
          <w:jc w:val="center"/>
        </w:trPr>
        <w:tc>
          <w:tcPr>
            <w:tcW w:w="6825" w:type="dxa"/>
            <w:vMerge/>
            <w:tcBorders>
              <w:top w:val="single" w:sz="4" w:space="0" w:color="auto"/>
              <w:left w:val="single" w:sz="4" w:space="0" w:color="auto"/>
              <w:bottom w:val="single" w:sz="4" w:space="0" w:color="auto"/>
              <w:right w:val="single" w:sz="4" w:space="0" w:color="auto"/>
            </w:tcBorders>
            <w:vAlign w:val="center"/>
            <w:hideMark/>
          </w:tcPr>
          <w:p w14:paraId="230A77F5" w14:textId="77777777" w:rsidR="00A33DC5" w:rsidRDefault="00A33DC5">
            <w:pPr>
              <w:overflowPunct/>
              <w:autoSpaceDE/>
              <w:autoSpaceDN/>
              <w:adjustRightInd/>
              <w:ind w:firstLine="0"/>
              <w:jc w:val="left"/>
              <w:rPr>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3A8B25E" w14:textId="77777777" w:rsidR="00A33DC5" w:rsidRDefault="00A33DC5">
            <w:pPr>
              <w:pStyle w:val="Bezodstpw"/>
            </w:pPr>
            <w:r>
              <w:t>KR 1- 2</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9CF9B1C" w14:textId="77777777" w:rsidR="00A33DC5" w:rsidRDefault="00A33DC5">
            <w:pPr>
              <w:pStyle w:val="Bezodstpw"/>
            </w:pPr>
            <w:r>
              <w:t>KR 3- 6</w:t>
            </w:r>
          </w:p>
        </w:tc>
      </w:tr>
      <w:tr w:rsidR="00A33DC5" w14:paraId="1C973BD4" w14:textId="77777777" w:rsidTr="00A33DC5">
        <w:trPr>
          <w:cantSplit/>
          <w:trHeight w:val="176"/>
          <w:jc w:val="center"/>
        </w:trPr>
        <w:tc>
          <w:tcPr>
            <w:tcW w:w="6825" w:type="dxa"/>
            <w:tcBorders>
              <w:top w:val="single" w:sz="4" w:space="0" w:color="auto"/>
              <w:left w:val="single" w:sz="4" w:space="0" w:color="auto"/>
              <w:bottom w:val="single" w:sz="4" w:space="0" w:color="auto"/>
              <w:right w:val="single" w:sz="4" w:space="0" w:color="auto"/>
            </w:tcBorders>
            <w:vAlign w:val="center"/>
            <w:hideMark/>
          </w:tcPr>
          <w:p w14:paraId="696771E0" w14:textId="77777777" w:rsidR="00A33DC5" w:rsidRDefault="00A33DC5">
            <w:pPr>
              <w:pStyle w:val="Bezodstpw"/>
            </w:pPr>
            <w:r>
              <w:t>Górna warstwa o grubości 20 cm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889895" w14:textId="77777777" w:rsidR="00A33DC5" w:rsidRDefault="00A33DC5">
            <w:pPr>
              <w:pStyle w:val="Bezodstpw"/>
            </w:pPr>
            <w:r>
              <w:t>1.00</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3526FC8" w14:textId="77777777" w:rsidR="00A33DC5" w:rsidRDefault="00A33DC5">
            <w:pPr>
              <w:pStyle w:val="Bezodstpw"/>
            </w:pPr>
            <w:r>
              <w:t>1.00</w:t>
            </w:r>
          </w:p>
        </w:tc>
      </w:tr>
      <w:tr w:rsidR="00A33DC5" w14:paraId="566D9836" w14:textId="77777777" w:rsidTr="00A33DC5">
        <w:trPr>
          <w:cantSplit/>
          <w:trHeight w:val="250"/>
          <w:jc w:val="center"/>
        </w:trPr>
        <w:tc>
          <w:tcPr>
            <w:tcW w:w="6825" w:type="dxa"/>
            <w:tcBorders>
              <w:top w:val="single" w:sz="4" w:space="0" w:color="auto"/>
              <w:left w:val="single" w:sz="4" w:space="0" w:color="auto"/>
              <w:bottom w:val="single" w:sz="4" w:space="0" w:color="auto"/>
              <w:right w:val="single" w:sz="4" w:space="0" w:color="auto"/>
            </w:tcBorders>
            <w:vAlign w:val="center"/>
            <w:hideMark/>
          </w:tcPr>
          <w:p w14:paraId="70DEE444" w14:textId="77777777" w:rsidR="00A33DC5" w:rsidRDefault="00A33DC5">
            <w:pPr>
              <w:pStyle w:val="Bezodstpw"/>
            </w:pPr>
            <w:r>
              <w:t>Na głębokości od 20 do 50 cm od powierzchni robót ziemnych lub terenu</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E80402" w14:textId="77777777" w:rsidR="00A33DC5" w:rsidRDefault="00A33DC5">
            <w:pPr>
              <w:pStyle w:val="Bezodstpw"/>
            </w:pPr>
            <w:r>
              <w:t>0.97</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CEE8B95" w14:textId="77777777" w:rsidR="00A33DC5" w:rsidRDefault="00A33DC5">
            <w:pPr>
              <w:pStyle w:val="Bezodstpw"/>
            </w:pPr>
            <w:r>
              <w:t>1.00</w:t>
            </w:r>
          </w:p>
        </w:tc>
      </w:tr>
    </w:tbl>
    <w:p w14:paraId="45753B97"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p>
    <w:p w14:paraId="3D7BDFE1" w14:textId="77777777" w:rsidR="00A33DC5" w:rsidRDefault="00A33DC5" w:rsidP="00A33DC5">
      <w:pPr>
        <w:pStyle w:val="Nagwek2"/>
        <w:rPr>
          <w:b/>
        </w:rPr>
      </w:pPr>
      <w:r>
        <w:rPr>
          <w:b/>
        </w:rPr>
        <w:t xml:space="preserve">5.3. Utrzymanie wyprofilowanego i zagęszczonego podłoża </w:t>
      </w:r>
    </w:p>
    <w:p w14:paraId="54489447"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 xml:space="preserve"> Podłoże po wyprofilowaniu i zagęszczeniu powinno być utrzymywane w dobrym stanie. Jeżeli po wykonaniu robót związanych z profilowaniem i zagęszczeniem podłoża nastąpi przerwa w robotach i Wykonawca nie przystępuje natychmiast </w:t>
      </w:r>
      <w:r>
        <w:rPr>
          <w:rFonts w:cs="Arial"/>
        </w:rPr>
        <w:lastRenderedPageBreak/>
        <w:t>do układania warstw nawierzchni, to powinien on zabezpieczyć podłoże przed nadmiernym zawilgoceniem, na przykład przez rozłożenie folii lub inny sposób zaakceptowany przez Inspektora Nadzoru Inwestorskiego.</w:t>
      </w:r>
    </w:p>
    <w:p w14:paraId="7F6D43F4"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Jeżeli wyprofilowane i zagęszczone podłoże uległo nadmiernemu zawilgoceniu, to przed przystąpieniem do układania podbudowy należy odczekać do czasu jego naturalnego osuszenia.</w:t>
      </w:r>
    </w:p>
    <w:p w14:paraId="1DD4D184"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Po osuszeniu podłoża Inspektor Nadzoru Inwestorskiego oceni jego stan i ewentualnie zleci wykonanie niezbędnych napraw. Jeżeli zawilgocenie nastąpiło wskutek zaniedbania Wykonawcy, to dodatkowe naprawy wykona on na własny koszt.</w:t>
      </w:r>
    </w:p>
    <w:p w14:paraId="087681C2" w14:textId="77777777" w:rsidR="00A33DC5" w:rsidRDefault="00A33DC5" w:rsidP="00A33DC5">
      <w:pPr>
        <w:pStyle w:val="Nagwek1"/>
        <w:rPr>
          <w:b/>
        </w:rPr>
      </w:pPr>
      <w:bookmarkStart w:id="204" w:name="_Toc406913856"/>
      <w:bookmarkStart w:id="205" w:name="_Toc406914101"/>
      <w:bookmarkStart w:id="206" w:name="_Toc406914756"/>
      <w:bookmarkStart w:id="207" w:name="_Toc406915334"/>
      <w:bookmarkStart w:id="208" w:name="_Toc406984027"/>
      <w:bookmarkStart w:id="209" w:name="_Toc406984174"/>
      <w:bookmarkStart w:id="210" w:name="_Toc406984365"/>
      <w:bookmarkStart w:id="211" w:name="_Toc407069573"/>
      <w:bookmarkStart w:id="212" w:name="_Toc407081538"/>
      <w:bookmarkStart w:id="213" w:name="_Toc407083337"/>
      <w:bookmarkStart w:id="214" w:name="_Toc407084171"/>
      <w:bookmarkStart w:id="215" w:name="_Toc407085290"/>
      <w:bookmarkStart w:id="216" w:name="_Toc407085433"/>
      <w:bookmarkStart w:id="217" w:name="_Toc407085576"/>
      <w:bookmarkStart w:id="218" w:name="_Toc407086024"/>
      <w:bookmarkStart w:id="219" w:name="_Toc49582982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b/>
        </w:rPr>
        <w:t>6. kontrola jakości robót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55CA9EC" w14:textId="77777777" w:rsidR="00A33DC5" w:rsidRDefault="00A33DC5" w:rsidP="00A33DC5">
      <w:pPr>
        <w:pStyle w:val="Nagwek2"/>
        <w:rPr>
          <w:b/>
        </w:rPr>
      </w:pPr>
      <w:bookmarkStart w:id="220" w:name="_Toc406913857"/>
      <w:bookmarkStart w:id="221" w:name="_Toc406914102"/>
      <w:bookmarkStart w:id="222" w:name="_Toc406914757"/>
      <w:bookmarkStart w:id="223" w:name="_Toc406915335"/>
      <w:bookmarkStart w:id="224" w:name="_Toc406984028"/>
      <w:bookmarkStart w:id="225" w:name="_Toc406984175"/>
      <w:bookmarkStart w:id="226" w:name="_Toc406984366"/>
      <w:bookmarkStart w:id="227" w:name="_Toc407069574"/>
      <w:bookmarkStart w:id="228" w:name="_Toc407081539"/>
      <w:bookmarkStart w:id="229" w:name="_Toc407083338"/>
      <w:bookmarkStart w:id="230" w:name="_Toc407084172"/>
      <w:bookmarkStart w:id="231" w:name="_Toc407085291"/>
      <w:bookmarkStart w:id="232" w:name="_Toc407085434"/>
      <w:bookmarkStart w:id="233" w:name="_Toc407085577"/>
      <w:bookmarkStart w:id="234" w:name="_Toc407086025"/>
      <w:bookmarkStart w:id="235" w:name="_Toc495829822"/>
      <w:r>
        <w:rPr>
          <w:b/>
        </w:rPr>
        <w:t>6.1. Ogólne zasady kontroli jakości robót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EEF904A" w14:textId="77777777" w:rsidR="00A33DC5" w:rsidRDefault="00A33DC5" w:rsidP="00A33DC5">
      <w:r>
        <w:t>Ogólne zasady kontroli jakości robót podano w SST D-M-00.00.00 „Wymagania ogólne” pkt 6.</w:t>
      </w:r>
    </w:p>
    <w:p w14:paraId="177F1A49" w14:textId="77777777" w:rsidR="00A33DC5" w:rsidRDefault="00A33DC5" w:rsidP="00A33DC5">
      <w:r>
        <w:t>W czasie robót Wykonawca powinien prowadzić systematyczne badania kontrolne w zakresie i z częstotliwością gwarantującą zachowanie wymagań jakości robót, lecz nie rzadziej niż wskazano w odpowiednich punktach niniejszej specyfikacji.</w:t>
      </w:r>
    </w:p>
    <w:p w14:paraId="02202D3A" w14:textId="77777777" w:rsidR="00A33DC5" w:rsidRDefault="00A33DC5" w:rsidP="00A33DC5">
      <w:r>
        <w:t xml:space="preserve">W przypadku, gdy przeprowadzenie badania zagęszczenia według metody </w:t>
      </w:r>
      <w:proofErr w:type="spellStart"/>
      <w:r>
        <w:t>Proctora</w:t>
      </w:r>
      <w:proofErr w:type="spellEnd"/>
      <w:r>
        <w:t xml:space="preserve"> jest niemożliwe ze względu na gruboziarniste uziarnienie materiału tworzącego podłoże, kontrolę zagęszczenia należy oprzeć na metodzie obciążeń płytowych. Należy określić pierwotny i wtórny moduł odkształcenia podłoża według [4]. Stosunek wtórnego i pierwotnego modułu odkształcenia nie powinien przekraczać 2,2. </w:t>
      </w:r>
    </w:p>
    <w:p w14:paraId="2773C138" w14:textId="77777777" w:rsidR="00A33DC5" w:rsidRDefault="00A33DC5" w:rsidP="00A33DC5">
      <w:r>
        <w:t xml:space="preserve">Tablica 2. </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01"/>
        <w:gridCol w:w="4132"/>
        <w:gridCol w:w="2266"/>
        <w:gridCol w:w="2216"/>
      </w:tblGrid>
      <w:tr w:rsidR="00A33DC5" w14:paraId="01CF9783" w14:textId="77777777" w:rsidTr="00A33DC5">
        <w:trPr>
          <w:cantSplit/>
          <w:trHeight w:val="291"/>
          <w:tblHeader/>
          <w:jc w:val="center"/>
        </w:trPr>
        <w:tc>
          <w:tcPr>
            <w:tcW w:w="401" w:type="dxa"/>
            <w:vMerge w:val="restart"/>
            <w:tcBorders>
              <w:top w:val="single" w:sz="4" w:space="0" w:color="auto"/>
              <w:left w:val="single" w:sz="4" w:space="0" w:color="auto"/>
              <w:bottom w:val="single" w:sz="4" w:space="0" w:color="auto"/>
              <w:right w:val="single" w:sz="4" w:space="0" w:color="auto"/>
            </w:tcBorders>
            <w:vAlign w:val="center"/>
            <w:hideMark/>
          </w:tcPr>
          <w:p w14:paraId="1EC84F33" w14:textId="77777777" w:rsidR="00A33DC5" w:rsidRDefault="00A33DC5">
            <w:pPr>
              <w:pStyle w:val="Bezodstpw"/>
            </w:pPr>
            <w:proofErr w:type="spellStart"/>
            <w:r>
              <w:t>Lp</w:t>
            </w:r>
            <w:proofErr w:type="spellEnd"/>
          </w:p>
        </w:tc>
        <w:tc>
          <w:tcPr>
            <w:tcW w:w="4135" w:type="dxa"/>
            <w:vMerge w:val="restart"/>
            <w:tcBorders>
              <w:top w:val="single" w:sz="4" w:space="0" w:color="auto"/>
              <w:left w:val="single" w:sz="4" w:space="0" w:color="auto"/>
              <w:bottom w:val="single" w:sz="4" w:space="0" w:color="auto"/>
              <w:right w:val="single" w:sz="4" w:space="0" w:color="auto"/>
            </w:tcBorders>
            <w:vAlign w:val="center"/>
            <w:hideMark/>
          </w:tcPr>
          <w:p w14:paraId="05931772" w14:textId="77777777" w:rsidR="00A33DC5" w:rsidRDefault="00A33DC5">
            <w:pPr>
              <w:pStyle w:val="Bezodstpw"/>
            </w:pPr>
            <w:r>
              <w:t>Wyszczególnienie badań</w:t>
            </w:r>
          </w:p>
        </w:tc>
        <w:tc>
          <w:tcPr>
            <w:tcW w:w="4486" w:type="dxa"/>
            <w:gridSpan w:val="2"/>
            <w:tcBorders>
              <w:top w:val="single" w:sz="4" w:space="0" w:color="auto"/>
              <w:left w:val="single" w:sz="4" w:space="0" w:color="auto"/>
              <w:bottom w:val="single" w:sz="4" w:space="0" w:color="auto"/>
              <w:right w:val="single" w:sz="4" w:space="0" w:color="auto"/>
            </w:tcBorders>
            <w:vAlign w:val="center"/>
            <w:hideMark/>
          </w:tcPr>
          <w:p w14:paraId="76F72190" w14:textId="77777777" w:rsidR="00A33DC5" w:rsidRDefault="00A33DC5">
            <w:pPr>
              <w:pStyle w:val="Bezodstpw"/>
            </w:pPr>
            <w:r>
              <w:t>Częstotliwość badań</w:t>
            </w:r>
          </w:p>
        </w:tc>
      </w:tr>
      <w:tr w:rsidR="00A33DC5" w14:paraId="4A215886" w14:textId="77777777" w:rsidTr="00A33DC5">
        <w:trPr>
          <w:cantSplit/>
          <w:trHeight w:val="612"/>
          <w:tblHeader/>
          <w:jc w:val="center"/>
        </w:trPr>
        <w:tc>
          <w:tcPr>
            <w:tcW w:w="401" w:type="dxa"/>
            <w:vMerge/>
            <w:tcBorders>
              <w:top w:val="single" w:sz="4" w:space="0" w:color="auto"/>
              <w:left w:val="single" w:sz="4" w:space="0" w:color="auto"/>
              <w:bottom w:val="single" w:sz="4" w:space="0" w:color="auto"/>
              <w:right w:val="single" w:sz="4" w:space="0" w:color="auto"/>
            </w:tcBorders>
            <w:vAlign w:val="center"/>
            <w:hideMark/>
          </w:tcPr>
          <w:p w14:paraId="13F43C5B" w14:textId="77777777" w:rsidR="00A33DC5" w:rsidRDefault="00A33DC5">
            <w:pPr>
              <w:overflowPunct/>
              <w:autoSpaceDE/>
              <w:autoSpaceDN/>
              <w:adjustRightInd/>
              <w:ind w:firstLine="0"/>
              <w:jc w:val="left"/>
              <w:rPr>
                <w:szCs w:val="22"/>
                <w:lang w:eastAsia="en-US"/>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14:paraId="1BBC38A5" w14:textId="77777777" w:rsidR="00A33DC5" w:rsidRDefault="00A33DC5">
            <w:pPr>
              <w:overflowPunct/>
              <w:autoSpaceDE/>
              <w:autoSpaceDN/>
              <w:adjustRightInd/>
              <w:ind w:firstLine="0"/>
              <w:jc w:val="left"/>
              <w:rPr>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ED5C44C" w14:textId="77777777" w:rsidR="00A33DC5" w:rsidRDefault="00A33DC5">
            <w:pPr>
              <w:pStyle w:val="Bezodstpw"/>
            </w:pPr>
            <w:r>
              <w:t>Min. liczba badań na dziennej działce roboczej</w:t>
            </w:r>
          </w:p>
        </w:tc>
        <w:tc>
          <w:tcPr>
            <w:tcW w:w="2218" w:type="dxa"/>
            <w:tcBorders>
              <w:top w:val="single" w:sz="4" w:space="0" w:color="auto"/>
              <w:left w:val="single" w:sz="4" w:space="0" w:color="auto"/>
              <w:bottom w:val="single" w:sz="4" w:space="0" w:color="auto"/>
              <w:right w:val="single" w:sz="4" w:space="0" w:color="auto"/>
            </w:tcBorders>
            <w:vAlign w:val="center"/>
            <w:hideMark/>
          </w:tcPr>
          <w:p w14:paraId="09D84D7D" w14:textId="77777777" w:rsidR="00A33DC5" w:rsidRDefault="00A33DC5">
            <w:pPr>
              <w:pStyle w:val="Bezodstpw"/>
            </w:pPr>
            <w:r>
              <w:t>Max. powierzchnia (m2) przypadająca na jedno badanie</w:t>
            </w:r>
          </w:p>
        </w:tc>
      </w:tr>
      <w:tr w:rsidR="00A33DC5" w14:paraId="7D79FD60" w14:textId="77777777" w:rsidTr="00A33DC5">
        <w:trPr>
          <w:cantSplit/>
          <w:trHeight w:val="450"/>
          <w:jc w:val="center"/>
        </w:trPr>
        <w:tc>
          <w:tcPr>
            <w:tcW w:w="401" w:type="dxa"/>
            <w:tcBorders>
              <w:top w:val="single" w:sz="4" w:space="0" w:color="auto"/>
              <w:left w:val="single" w:sz="4" w:space="0" w:color="auto"/>
              <w:bottom w:val="single" w:sz="4" w:space="0" w:color="auto"/>
              <w:right w:val="single" w:sz="4" w:space="0" w:color="auto"/>
            </w:tcBorders>
            <w:vAlign w:val="center"/>
            <w:hideMark/>
          </w:tcPr>
          <w:p w14:paraId="7C4DFBA5" w14:textId="77777777" w:rsidR="00A33DC5" w:rsidRDefault="00A33DC5">
            <w:pPr>
              <w:pStyle w:val="Bezodstpw"/>
            </w:pPr>
            <w:r>
              <w:t>1.</w:t>
            </w:r>
          </w:p>
        </w:tc>
        <w:tc>
          <w:tcPr>
            <w:tcW w:w="4135" w:type="dxa"/>
            <w:tcBorders>
              <w:top w:val="single" w:sz="4" w:space="0" w:color="auto"/>
              <w:left w:val="single" w:sz="4" w:space="0" w:color="auto"/>
              <w:bottom w:val="single" w:sz="4" w:space="0" w:color="auto"/>
              <w:right w:val="single" w:sz="4" w:space="0" w:color="auto"/>
            </w:tcBorders>
            <w:vAlign w:val="center"/>
            <w:hideMark/>
          </w:tcPr>
          <w:p w14:paraId="56BBE984" w14:textId="77777777" w:rsidR="00A33DC5" w:rsidRDefault="00A33DC5">
            <w:pPr>
              <w:pStyle w:val="Bezodstpw"/>
            </w:pPr>
            <w:r>
              <w:t>Szerokość, głębokość i położenie koryta</w:t>
            </w:r>
          </w:p>
        </w:tc>
        <w:tc>
          <w:tcPr>
            <w:tcW w:w="4486" w:type="dxa"/>
            <w:gridSpan w:val="2"/>
            <w:tcBorders>
              <w:top w:val="single" w:sz="4" w:space="0" w:color="auto"/>
              <w:left w:val="single" w:sz="4" w:space="0" w:color="auto"/>
              <w:bottom w:val="single" w:sz="4" w:space="0" w:color="auto"/>
              <w:right w:val="single" w:sz="4" w:space="0" w:color="auto"/>
            </w:tcBorders>
            <w:vAlign w:val="center"/>
            <w:hideMark/>
          </w:tcPr>
          <w:p w14:paraId="01FA6179" w14:textId="77777777" w:rsidR="00A33DC5" w:rsidRDefault="00A33DC5">
            <w:pPr>
              <w:pStyle w:val="Bezodstpw"/>
            </w:pPr>
            <w:r>
              <w:t>Z częstotliwością gwarantującą spełnienie wymagań przy odbiorze, określonych w p.6.2.</w:t>
            </w:r>
          </w:p>
        </w:tc>
      </w:tr>
      <w:tr w:rsidR="00A33DC5" w14:paraId="13AC9A11" w14:textId="77777777" w:rsidTr="00A33DC5">
        <w:trPr>
          <w:cantSplit/>
          <w:trHeight w:val="261"/>
          <w:jc w:val="center"/>
        </w:trPr>
        <w:tc>
          <w:tcPr>
            <w:tcW w:w="401" w:type="dxa"/>
            <w:tcBorders>
              <w:top w:val="single" w:sz="4" w:space="0" w:color="auto"/>
              <w:left w:val="single" w:sz="4" w:space="0" w:color="auto"/>
              <w:bottom w:val="single" w:sz="4" w:space="0" w:color="auto"/>
              <w:right w:val="single" w:sz="4" w:space="0" w:color="auto"/>
            </w:tcBorders>
            <w:vAlign w:val="center"/>
            <w:hideMark/>
          </w:tcPr>
          <w:p w14:paraId="4BFA4257" w14:textId="77777777" w:rsidR="00A33DC5" w:rsidRDefault="00A33DC5">
            <w:pPr>
              <w:pStyle w:val="Bezodstpw"/>
            </w:pPr>
            <w:r>
              <w:t>2.</w:t>
            </w:r>
          </w:p>
        </w:tc>
        <w:tc>
          <w:tcPr>
            <w:tcW w:w="4135" w:type="dxa"/>
            <w:tcBorders>
              <w:top w:val="single" w:sz="4" w:space="0" w:color="auto"/>
              <w:left w:val="single" w:sz="4" w:space="0" w:color="auto"/>
              <w:bottom w:val="single" w:sz="4" w:space="0" w:color="auto"/>
              <w:right w:val="single" w:sz="4" w:space="0" w:color="auto"/>
            </w:tcBorders>
            <w:vAlign w:val="center"/>
            <w:hideMark/>
          </w:tcPr>
          <w:p w14:paraId="5ACFD4C0" w14:textId="77777777" w:rsidR="00A33DC5" w:rsidRDefault="00A33DC5">
            <w:pPr>
              <w:pStyle w:val="Bezodstpw"/>
            </w:pPr>
            <w:r>
              <w:t>Ukształtowanie pionowe osi koryta</w:t>
            </w:r>
          </w:p>
        </w:tc>
        <w:tc>
          <w:tcPr>
            <w:tcW w:w="4486" w:type="dxa"/>
            <w:gridSpan w:val="2"/>
            <w:tcBorders>
              <w:top w:val="single" w:sz="4" w:space="0" w:color="auto"/>
              <w:left w:val="single" w:sz="4" w:space="0" w:color="auto"/>
              <w:bottom w:val="single" w:sz="4" w:space="0" w:color="auto"/>
              <w:right w:val="single" w:sz="4" w:space="0" w:color="auto"/>
            </w:tcBorders>
            <w:vAlign w:val="center"/>
            <w:hideMark/>
          </w:tcPr>
          <w:p w14:paraId="7221BF16" w14:textId="77777777" w:rsidR="00A33DC5" w:rsidRDefault="00A33DC5">
            <w:pPr>
              <w:pStyle w:val="Bezodstpw"/>
            </w:pPr>
            <w:r>
              <w:t>jw.</w:t>
            </w:r>
          </w:p>
        </w:tc>
      </w:tr>
      <w:tr w:rsidR="00A33DC5" w14:paraId="70DCE1EA" w14:textId="77777777" w:rsidTr="00A33DC5">
        <w:trPr>
          <w:cantSplit/>
          <w:trHeight w:val="268"/>
          <w:jc w:val="center"/>
        </w:trPr>
        <w:tc>
          <w:tcPr>
            <w:tcW w:w="401" w:type="dxa"/>
            <w:tcBorders>
              <w:top w:val="single" w:sz="4" w:space="0" w:color="auto"/>
              <w:left w:val="single" w:sz="4" w:space="0" w:color="auto"/>
              <w:bottom w:val="single" w:sz="4" w:space="0" w:color="auto"/>
              <w:right w:val="single" w:sz="4" w:space="0" w:color="auto"/>
            </w:tcBorders>
            <w:vAlign w:val="center"/>
            <w:hideMark/>
          </w:tcPr>
          <w:p w14:paraId="5F9F4761" w14:textId="77777777" w:rsidR="00A33DC5" w:rsidRDefault="00A33DC5">
            <w:pPr>
              <w:pStyle w:val="Bezodstpw"/>
            </w:pPr>
            <w:r>
              <w:t>3.</w:t>
            </w:r>
          </w:p>
        </w:tc>
        <w:tc>
          <w:tcPr>
            <w:tcW w:w="4135" w:type="dxa"/>
            <w:tcBorders>
              <w:top w:val="single" w:sz="4" w:space="0" w:color="auto"/>
              <w:left w:val="single" w:sz="4" w:space="0" w:color="auto"/>
              <w:bottom w:val="single" w:sz="4" w:space="0" w:color="auto"/>
              <w:right w:val="single" w:sz="4" w:space="0" w:color="auto"/>
            </w:tcBorders>
            <w:vAlign w:val="center"/>
            <w:hideMark/>
          </w:tcPr>
          <w:p w14:paraId="7C823FD5" w14:textId="77777777" w:rsidR="00A33DC5" w:rsidRDefault="00A33DC5">
            <w:pPr>
              <w:pStyle w:val="Bezodstpw"/>
            </w:pPr>
            <w:r>
              <w:t xml:space="preserve">Zagęszczenie, wilgotność gruntu – badanie </w:t>
            </w:r>
            <w:proofErr w:type="spellStart"/>
            <w:r>
              <w:t>Is</w:t>
            </w:r>
            <w:proofErr w:type="spellEnd"/>
            <w: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D7C84A" w14:textId="77777777" w:rsidR="00A33DC5" w:rsidRDefault="00A33DC5">
            <w:pPr>
              <w:pStyle w:val="Bezodstpw"/>
            </w:pPr>
            <w:r>
              <w:t>2</w:t>
            </w:r>
          </w:p>
        </w:tc>
        <w:tc>
          <w:tcPr>
            <w:tcW w:w="2218" w:type="dxa"/>
            <w:tcBorders>
              <w:top w:val="single" w:sz="4" w:space="0" w:color="auto"/>
              <w:left w:val="single" w:sz="4" w:space="0" w:color="auto"/>
              <w:bottom w:val="single" w:sz="4" w:space="0" w:color="auto"/>
              <w:right w:val="single" w:sz="4" w:space="0" w:color="auto"/>
            </w:tcBorders>
            <w:vAlign w:val="center"/>
            <w:hideMark/>
          </w:tcPr>
          <w:p w14:paraId="102B86BE" w14:textId="77777777" w:rsidR="00A33DC5" w:rsidRDefault="00A33DC5">
            <w:pPr>
              <w:pStyle w:val="Bezodstpw"/>
            </w:pPr>
            <w:r>
              <w:t>600</w:t>
            </w:r>
          </w:p>
        </w:tc>
      </w:tr>
    </w:tbl>
    <w:p w14:paraId="64D3C55E" w14:textId="77777777" w:rsidR="00A33DC5" w:rsidRDefault="00A33DC5" w:rsidP="00A33DC5"/>
    <w:p w14:paraId="2B478EA0" w14:textId="77777777" w:rsidR="00A33DC5" w:rsidRDefault="00A33DC5" w:rsidP="00A33DC5">
      <w:r>
        <w:t>Badania płytą 30cm wykonanego koryta gruntowego należy przeprowadzić nie rzadziej niż 1 raz na 600m2.</w:t>
      </w:r>
    </w:p>
    <w:p w14:paraId="7337640B" w14:textId="77777777" w:rsidR="00A33DC5" w:rsidRDefault="00A33DC5" w:rsidP="00A33DC5"/>
    <w:p w14:paraId="2F05E49F" w14:textId="77777777" w:rsidR="00A33DC5" w:rsidRDefault="00A33DC5" w:rsidP="00A33DC5">
      <w:pPr>
        <w:pStyle w:val="Nagwek2"/>
        <w:rPr>
          <w:b/>
        </w:rPr>
      </w:pPr>
      <w:bookmarkStart w:id="236" w:name="_Toc406913858"/>
      <w:bookmarkStart w:id="237" w:name="_Toc406914103"/>
      <w:bookmarkStart w:id="238" w:name="_Toc406914758"/>
      <w:bookmarkStart w:id="239" w:name="_Toc406915336"/>
      <w:bookmarkStart w:id="240" w:name="_Toc406984029"/>
      <w:bookmarkStart w:id="241" w:name="_Toc406984176"/>
      <w:bookmarkStart w:id="242" w:name="_Toc406984367"/>
      <w:bookmarkStart w:id="243" w:name="_Toc407069575"/>
      <w:bookmarkStart w:id="244" w:name="_Toc407081540"/>
      <w:bookmarkStart w:id="245" w:name="_Toc407083339"/>
      <w:bookmarkStart w:id="246" w:name="_Toc407084173"/>
      <w:bookmarkStart w:id="247" w:name="_Toc407085292"/>
      <w:bookmarkStart w:id="248" w:name="_Toc407085435"/>
      <w:bookmarkStart w:id="249" w:name="_Toc407085578"/>
      <w:bookmarkStart w:id="250" w:name="_Toc407086026"/>
      <w:bookmarkStart w:id="251" w:name="_Toc495829823"/>
      <w:r>
        <w:rPr>
          <w:b/>
        </w:rPr>
        <w:t>6.2. Badania w czasie robót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0206D86" w14:textId="77777777" w:rsidR="00A33DC5" w:rsidRDefault="00A33DC5" w:rsidP="00A33DC5">
      <w:pPr>
        <w:pStyle w:val="Nagwek3"/>
        <w:rPr>
          <w:b/>
        </w:rPr>
      </w:pPr>
      <w:r>
        <w:rPr>
          <w:b/>
        </w:rPr>
        <w:t>6.2.1. Zagęszczenie podłoża</w:t>
      </w:r>
    </w:p>
    <w:p w14:paraId="47166547"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pPr>
      <w:r>
        <w:rPr>
          <w:rFonts w:cs="Arial"/>
        </w:rPr>
        <w:t>Zagęszczenie podłoża należy kontrolować wg punktu 5.2.4 i 6.1.</w:t>
      </w:r>
    </w:p>
    <w:p w14:paraId="41382617" w14:textId="77777777" w:rsidR="00A33DC5" w:rsidRDefault="00A33DC5" w:rsidP="00A33DC5">
      <w:pPr>
        <w:pStyle w:val="Nagwek3"/>
        <w:rPr>
          <w:b/>
        </w:rPr>
      </w:pPr>
      <w:r>
        <w:rPr>
          <w:b/>
        </w:rPr>
        <w:t>6.2.2. Szerokość koryta (profilowanego podłoża)</w:t>
      </w:r>
    </w:p>
    <w:p w14:paraId="221A1D45" w14:textId="77777777" w:rsidR="00A33DC5" w:rsidRDefault="00A33DC5" w:rsidP="00A33DC5">
      <w:r>
        <w:t>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14:paraId="5EE19C88" w14:textId="77777777" w:rsidR="00A33DC5" w:rsidRDefault="00A33DC5" w:rsidP="00A33DC5">
      <w:pPr>
        <w:pStyle w:val="Nagwek3"/>
        <w:rPr>
          <w:b/>
        </w:rPr>
      </w:pPr>
      <w:r>
        <w:rPr>
          <w:b/>
        </w:rPr>
        <w:t>6.2.3. Równość koryta (profilowanego podłoża)</w:t>
      </w:r>
    </w:p>
    <w:p w14:paraId="103EFDA7" w14:textId="77777777" w:rsidR="00A33DC5" w:rsidRDefault="00A33DC5" w:rsidP="00A33DC5">
      <w:r>
        <w:t>Nierówności profilowanego i zagęszczonego podłoża należy mierzyć łatą co 20m w kierunku podłużnym. Nierówności poprzeczne należy mierzyć łatą co najmniej 10 razy na 1 km. Nierówności nie mogą przekraczać 2cm.</w:t>
      </w:r>
    </w:p>
    <w:p w14:paraId="5B95A6E4" w14:textId="77777777" w:rsidR="00A33DC5" w:rsidRDefault="00A33DC5" w:rsidP="00A33DC5">
      <w:pPr>
        <w:pStyle w:val="Nagwek3"/>
        <w:rPr>
          <w:b/>
        </w:rPr>
      </w:pPr>
      <w:r>
        <w:rPr>
          <w:b/>
        </w:rPr>
        <w:t>6.2.4. Spadki poprzeczne</w:t>
      </w:r>
    </w:p>
    <w:p w14:paraId="17304DA6"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pPr>
      <w:r>
        <w:rPr>
          <w:rFonts w:cs="Arial"/>
        </w:rPr>
        <w:t>Spadki poprzeczne należy mierzyć za pomocą 4</w:t>
      </w:r>
      <w:r>
        <w:rPr>
          <w:rFonts w:cs="Arial"/>
        </w:rPr>
        <w:noBreakHyphen/>
        <w:t>metrowej łaty i poziomicy co najmniej 10 razy na 1 km i dodatkowo we wszystkich punktach głównych łuków poziomych: na początku i końcu każdej krzywej przejściowej oraz na początku, w środku i na końcu każdego łuku kołowego. Spadki poprzeczne podłoża powinny być zgodne z Dokumentacją Projektową z tolerancją ±0.5%.</w:t>
      </w:r>
    </w:p>
    <w:p w14:paraId="331FA475" w14:textId="77777777" w:rsidR="00A33DC5" w:rsidRDefault="00A33DC5" w:rsidP="00A33DC5">
      <w:pPr>
        <w:pStyle w:val="Nagwek3"/>
        <w:rPr>
          <w:b/>
        </w:rPr>
      </w:pPr>
      <w:r>
        <w:rPr>
          <w:b/>
        </w:rPr>
        <w:t xml:space="preserve">6.2.5. Głębokość koryta i rzędne dna </w:t>
      </w:r>
    </w:p>
    <w:p w14:paraId="5FF4FD76"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Głębokość koryta i rzędne należy sprawdzać co 20 m w osi jezdni i na jej krawędziach, a na odcinkach krzywoliniowych co 10 m.</w:t>
      </w:r>
    </w:p>
    <w:p w14:paraId="54AC735B" w14:textId="77777777" w:rsidR="00A33DC5" w:rsidRDefault="00A33DC5" w:rsidP="00A33DC5">
      <w:pPr>
        <w:pStyle w:val="Nagwek3"/>
        <w:rPr>
          <w:b/>
        </w:rPr>
      </w:pPr>
      <w:r>
        <w:rPr>
          <w:b/>
        </w:rPr>
        <w:t>6.2.6. Ukształtowanie osi w planie</w:t>
      </w:r>
    </w:p>
    <w:p w14:paraId="76D23B94"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Ukształtowanie osi koryta należy sprawdzać w punktach głównych trasy i w innych dodatkowych punktach, rozmieszczonych nie rzadziej niż co 100 m.</w:t>
      </w:r>
    </w:p>
    <w:p w14:paraId="7A448E94"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pPr>
      <w:r>
        <w:rPr>
          <w:rFonts w:cs="Arial"/>
        </w:rPr>
        <w:t>Oś w planie nie może być przesunięta w stosunku do osi projektowanej o więcej niż 3 cm.</w:t>
      </w:r>
    </w:p>
    <w:p w14:paraId="331EC0AC" w14:textId="77777777" w:rsidR="00A33DC5" w:rsidRDefault="00A33DC5" w:rsidP="00A33DC5">
      <w:pPr>
        <w:pStyle w:val="Nagwek3"/>
        <w:rPr>
          <w:b/>
        </w:rPr>
      </w:pPr>
      <w:r>
        <w:rPr>
          <w:b/>
        </w:rPr>
        <w:t>6.2.7. Szerokość koryta</w:t>
      </w:r>
    </w:p>
    <w:p w14:paraId="3DD25888" w14:textId="77777777" w:rsidR="00A33DC5" w:rsidRDefault="00A33DC5" w:rsidP="00A33DC5">
      <w:pPr>
        <w:tabs>
          <w:tab w:val="left" w:pos="1"/>
          <w:tab w:val="left" w:pos="339"/>
          <w:tab w:val="left" w:pos="736"/>
          <w:tab w:val="left" w:pos="1020"/>
          <w:tab w:val="left" w:pos="1360"/>
          <w:tab w:val="left" w:pos="1700"/>
          <w:tab w:val="left" w:pos="2041"/>
          <w:tab w:val="left" w:pos="2380"/>
          <w:tab w:val="left" w:pos="2721"/>
          <w:tab w:val="left" w:pos="3061"/>
          <w:tab w:val="left" w:pos="3402"/>
          <w:tab w:val="left" w:pos="5668"/>
        </w:tabs>
        <w:rPr>
          <w:rFonts w:cs="Arial"/>
        </w:rPr>
      </w:pPr>
      <w:r>
        <w:rPr>
          <w:rFonts w:cs="Arial"/>
        </w:rPr>
        <w:t>Szerokość koryta należy sprawdzać co najmniej 10 razy na 1 km. Szerokość koryta nie może różnić się od szerokości projektowanej o więcej niż +10 cm oraz -5 cm.</w:t>
      </w:r>
    </w:p>
    <w:p w14:paraId="499B2F46" w14:textId="77777777" w:rsidR="00A33DC5" w:rsidRDefault="00A33DC5" w:rsidP="00A33DC5">
      <w:pPr>
        <w:pStyle w:val="Nagwek3"/>
        <w:rPr>
          <w:b/>
        </w:rPr>
      </w:pPr>
      <w:r>
        <w:rPr>
          <w:b/>
        </w:rPr>
        <w:t>6.2.8. Zagęszczenie koryta (profilowanego podłoża)</w:t>
      </w:r>
    </w:p>
    <w:p w14:paraId="61717069" w14:textId="77777777" w:rsidR="00A33DC5" w:rsidRDefault="00A33DC5" w:rsidP="00A33DC5">
      <w:r>
        <w:t>Jeśli jako kryterium dobrego zagęszczenia stosuje się porównanie wartości modułów odkształcenia, to wartość stosunku wtórnego do pierwotnego modułu odkształcenia, określonych zgodnie z normą [3] nie powinna być większa od 2,2.</w:t>
      </w:r>
    </w:p>
    <w:p w14:paraId="57F26022" w14:textId="77777777" w:rsidR="00A33DC5" w:rsidRDefault="00A33DC5" w:rsidP="00A33DC5">
      <w:r>
        <w:lastRenderedPageBreak/>
        <w:t>Wilgotność w czasie zagęszczania należy badać według PN-88/B-04481 p.5.1. Wilgotność gruntu podłoża powinna być równa wilgotności optymalnej z tolerancją +/-10%.</w:t>
      </w:r>
    </w:p>
    <w:p w14:paraId="085ED916" w14:textId="77777777" w:rsidR="00A33DC5" w:rsidRDefault="00A33DC5" w:rsidP="00A33DC5">
      <w:r>
        <w:t>Tablica 1. Minimalne wartości wtórnego modułu odkształcenia E</w:t>
      </w:r>
      <w:r>
        <w:rPr>
          <w:vertAlign w:val="subscript"/>
        </w:rPr>
        <w:t>2</w:t>
      </w:r>
      <w:r>
        <w:t xml:space="preserve"> [</w:t>
      </w:r>
      <w:proofErr w:type="spellStart"/>
      <w:r>
        <w:t>MPa</w:t>
      </w:r>
      <w:proofErr w:type="spellEnd"/>
      <w:r>
        <w:t>] [7] dla zagęszczenia koryta i wyprofilowanego podłoża</w:t>
      </w:r>
    </w:p>
    <w:p w14:paraId="39BAE793" w14:textId="77777777" w:rsidR="00A33DC5" w:rsidRDefault="00A33DC5" w:rsidP="00A33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tblGrid>
      <w:tr w:rsidR="00A33DC5" w14:paraId="128E93C3" w14:textId="77777777" w:rsidTr="00A33DC5">
        <w:tc>
          <w:tcPr>
            <w:tcW w:w="2452" w:type="dxa"/>
            <w:tcBorders>
              <w:top w:val="single" w:sz="4" w:space="0" w:color="auto"/>
              <w:left w:val="single" w:sz="4" w:space="0" w:color="auto"/>
              <w:bottom w:val="single" w:sz="4" w:space="0" w:color="auto"/>
              <w:right w:val="single" w:sz="4" w:space="0" w:color="auto"/>
            </w:tcBorders>
            <w:hideMark/>
          </w:tcPr>
          <w:p w14:paraId="5252D049" w14:textId="77777777" w:rsidR="00A33DC5" w:rsidRDefault="00A33DC5">
            <w:pPr>
              <w:pStyle w:val="Bezodstpw"/>
            </w:pPr>
            <w:r>
              <w:t>Kategoria ruchu</w:t>
            </w:r>
          </w:p>
        </w:tc>
        <w:tc>
          <w:tcPr>
            <w:tcW w:w="2452" w:type="dxa"/>
            <w:tcBorders>
              <w:top w:val="single" w:sz="4" w:space="0" w:color="auto"/>
              <w:left w:val="single" w:sz="4" w:space="0" w:color="auto"/>
              <w:bottom w:val="single" w:sz="4" w:space="0" w:color="auto"/>
              <w:right w:val="single" w:sz="4" w:space="0" w:color="auto"/>
            </w:tcBorders>
            <w:hideMark/>
          </w:tcPr>
          <w:p w14:paraId="4E0D7136" w14:textId="77777777" w:rsidR="00A33DC5" w:rsidRDefault="00A33DC5">
            <w:pPr>
              <w:pStyle w:val="Bezodstpw"/>
            </w:pPr>
            <w:r>
              <w:t>Grupa nośności podłoża</w:t>
            </w:r>
          </w:p>
        </w:tc>
        <w:tc>
          <w:tcPr>
            <w:tcW w:w="2452" w:type="dxa"/>
            <w:tcBorders>
              <w:top w:val="single" w:sz="4" w:space="0" w:color="auto"/>
              <w:left w:val="single" w:sz="4" w:space="0" w:color="auto"/>
              <w:bottom w:val="single" w:sz="4" w:space="0" w:color="auto"/>
              <w:right w:val="single" w:sz="4" w:space="0" w:color="auto"/>
            </w:tcBorders>
            <w:hideMark/>
          </w:tcPr>
          <w:p w14:paraId="74BD05A5" w14:textId="77777777" w:rsidR="00A33DC5" w:rsidRDefault="00A33DC5">
            <w:pPr>
              <w:pStyle w:val="Bezodstpw"/>
            </w:pPr>
            <w:r>
              <w:t>Wtórny moduł odkształcenia &gt;=E</w:t>
            </w:r>
            <w:r>
              <w:rPr>
                <w:vertAlign w:val="subscript"/>
              </w:rPr>
              <w:t>2</w:t>
            </w:r>
            <w:r>
              <w:t xml:space="preserve"> [</w:t>
            </w:r>
            <w:proofErr w:type="spellStart"/>
            <w:r>
              <w:t>MPa</w:t>
            </w:r>
            <w:proofErr w:type="spellEnd"/>
            <w:r>
              <w:t>]</w:t>
            </w:r>
          </w:p>
        </w:tc>
      </w:tr>
      <w:tr w:rsidR="00A33DC5" w14:paraId="10A941C0" w14:textId="77777777" w:rsidTr="00A33DC5">
        <w:tc>
          <w:tcPr>
            <w:tcW w:w="2452" w:type="dxa"/>
            <w:vMerge w:val="restart"/>
            <w:tcBorders>
              <w:top w:val="single" w:sz="4" w:space="0" w:color="auto"/>
              <w:left w:val="single" w:sz="4" w:space="0" w:color="auto"/>
              <w:bottom w:val="single" w:sz="4" w:space="0" w:color="auto"/>
              <w:right w:val="single" w:sz="4" w:space="0" w:color="auto"/>
            </w:tcBorders>
            <w:hideMark/>
          </w:tcPr>
          <w:p w14:paraId="02C76D65" w14:textId="77777777" w:rsidR="00A33DC5" w:rsidRDefault="00A33DC5">
            <w:pPr>
              <w:pStyle w:val="Bezodstpw"/>
            </w:pPr>
            <w:r>
              <w:t>KR1-6</w:t>
            </w:r>
          </w:p>
        </w:tc>
        <w:tc>
          <w:tcPr>
            <w:tcW w:w="2452" w:type="dxa"/>
            <w:tcBorders>
              <w:top w:val="single" w:sz="4" w:space="0" w:color="auto"/>
              <w:left w:val="single" w:sz="4" w:space="0" w:color="auto"/>
              <w:bottom w:val="single" w:sz="4" w:space="0" w:color="auto"/>
              <w:right w:val="single" w:sz="4" w:space="0" w:color="auto"/>
            </w:tcBorders>
            <w:hideMark/>
          </w:tcPr>
          <w:p w14:paraId="37BC6F18" w14:textId="77777777" w:rsidR="00A33DC5" w:rsidRDefault="00A33DC5">
            <w:pPr>
              <w:pStyle w:val="Bezodstpw"/>
            </w:pPr>
            <w:r>
              <w:t>G4</w:t>
            </w:r>
          </w:p>
        </w:tc>
        <w:tc>
          <w:tcPr>
            <w:tcW w:w="2452" w:type="dxa"/>
            <w:tcBorders>
              <w:top w:val="single" w:sz="4" w:space="0" w:color="auto"/>
              <w:left w:val="single" w:sz="4" w:space="0" w:color="auto"/>
              <w:bottom w:val="single" w:sz="4" w:space="0" w:color="auto"/>
              <w:right w:val="single" w:sz="4" w:space="0" w:color="auto"/>
            </w:tcBorders>
            <w:hideMark/>
          </w:tcPr>
          <w:p w14:paraId="52FEB66C" w14:textId="77777777" w:rsidR="00A33DC5" w:rsidRDefault="00A33DC5">
            <w:pPr>
              <w:pStyle w:val="Bezodstpw"/>
            </w:pPr>
            <w:r>
              <w:t>25</w:t>
            </w:r>
          </w:p>
        </w:tc>
      </w:tr>
      <w:tr w:rsidR="00A33DC5" w14:paraId="34B15993" w14:textId="77777777" w:rsidTr="00A33DC5">
        <w:tc>
          <w:tcPr>
            <w:tcW w:w="0" w:type="auto"/>
            <w:vMerge/>
            <w:tcBorders>
              <w:top w:val="single" w:sz="4" w:space="0" w:color="auto"/>
              <w:left w:val="single" w:sz="4" w:space="0" w:color="auto"/>
              <w:bottom w:val="single" w:sz="4" w:space="0" w:color="auto"/>
              <w:right w:val="single" w:sz="4" w:space="0" w:color="auto"/>
            </w:tcBorders>
            <w:vAlign w:val="center"/>
            <w:hideMark/>
          </w:tcPr>
          <w:p w14:paraId="484C2789" w14:textId="77777777" w:rsidR="00A33DC5" w:rsidRDefault="00A33DC5">
            <w:pPr>
              <w:overflowPunct/>
              <w:autoSpaceDE/>
              <w:autoSpaceDN/>
              <w:adjustRightInd/>
              <w:ind w:firstLine="0"/>
              <w:jc w:val="left"/>
              <w:rPr>
                <w:szCs w:val="22"/>
                <w:lang w:eastAsia="en-US"/>
              </w:rPr>
            </w:pPr>
          </w:p>
        </w:tc>
        <w:tc>
          <w:tcPr>
            <w:tcW w:w="2452" w:type="dxa"/>
            <w:tcBorders>
              <w:top w:val="single" w:sz="4" w:space="0" w:color="auto"/>
              <w:left w:val="single" w:sz="4" w:space="0" w:color="auto"/>
              <w:bottom w:val="single" w:sz="4" w:space="0" w:color="auto"/>
              <w:right w:val="single" w:sz="4" w:space="0" w:color="auto"/>
            </w:tcBorders>
            <w:hideMark/>
          </w:tcPr>
          <w:p w14:paraId="2C9582DF" w14:textId="77777777" w:rsidR="00A33DC5" w:rsidRDefault="00A33DC5">
            <w:pPr>
              <w:pStyle w:val="Bezodstpw"/>
            </w:pPr>
            <w:r>
              <w:t>G3</w:t>
            </w:r>
          </w:p>
        </w:tc>
        <w:tc>
          <w:tcPr>
            <w:tcW w:w="2452" w:type="dxa"/>
            <w:tcBorders>
              <w:top w:val="single" w:sz="4" w:space="0" w:color="auto"/>
              <w:left w:val="single" w:sz="4" w:space="0" w:color="auto"/>
              <w:bottom w:val="single" w:sz="4" w:space="0" w:color="auto"/>
              <w:right w:val="single" w:sz="4" w:space="0" w:color="auto"/>
            </w:tcBorders>
            <w:hideMark/>
          </w:tcPr>
          <w:p w14:paraId="7ECA5F27" w14:textId="77777777" w:rsidR="00A33DC5" w:rsidRDefault="00A33DC5">
            <w:pPr>
              <w:pStyle w:val="Bezodstpw"/>
            </w:pPr>
            <w:r>
              <w:t>35</w:t>
            </w:r>
          </w:p>
        </w:tc>
      </w:tr>
      <w:tr w:rsidR="00A33DC5" w14:paraId="687B3F9A" w14:textId="77777777" w:rsidTr="00A33DC5">
        <w:tc>
          <w:tcPr>
            <w:tcW w:w="0" w:type="auto"/>
            <w:vMerge/>
            <w:tcBorders>
              <w:top w:val="single" w:sz="4" w:space="0" w:color="auto"/>
              <w:left w:val="single" w:sz="4" w:space="0" w:color="auto"/>
              <w:bottom w:val="single" w:sz="4" w:space="0" w:color="auto"/>
              <w:right w:val="single" w:sz="4" w:space="0" w:color="auto"/>
            </w:tcBorders>
            <w:vAlign w:val="center"/>
            <w:hideMark/>
          </w:tcPr>
          <w:p w14:paraId="12C6205E" w14:textId="77777777" w:rsidR="00A33DC5" w:rsidRDefault="00A33DC5">
            <w:pPr>
              <w:overflowPunct/>
              <w:autoSpaceDE/>
              <w:autoSpaceDN/>
              <w:adjustRightInd/>
              <w:ind w:firstLine="0"/>
              <w:jc w:val="left"/>
              <w:rPr>
                <w:szCs w:val="22"/>
                <w:lang w:eastAsia="en-US"/>
              </w:rPr>
            </w:pPr>
          </w:p>
        </w:tc>
        <w:tc>
          <w:tcPr>
            <w:tcW w:w="2452" w:type="dxa"/>
            <w:tcBorders>
              <w:top w:val="single" w:sz="4" w:space="0" w:color="auto"/>
              <w:left w:val="single" w:sz="4" w:space="0" w:color="auto"/>
              <w:bottom w:val="single" w:sz="4" w:space="0" w:color="auto"/>
              <w:right w:val="single" w:sz="4" w:space="0" w:color="auto"/>
            </w:tcBorders>
            <w:hideMark/>
          </w:tcPr>
          <w:p w14:paraId="55D45FF5" w14:textId="77777777" w:rsidR="00A33DC5" w:rsidRDefault="00A33DC5">
            <w:pPr>
              <w:pStyle w:val="Bezodstpw"/>
            </w:pPr>
            <w:r>
              <w:t>G2</w:t>
            </w:r>
          </w:p>
        </w:tc>
        <w:tc>
          <w:tcPr>
            <w:tcW w:w="2452" w:type="dxa"/>
            <w:tcBorders>
              <w:top w:val="single" w:sz="4" w:space="0" w:color="auto"/>
              <w:left w:val="single" w:sz="4" w:space="0" w:color="auto"/>
              <w:bottom w:val="single" w:sz="4" w:space="0" w:color="auto"/>
              <w:right w:val="single" w:sz="4" w:space="0" w:color="auto"/>
            </w:tcBorders>
            <w:hideMark/>
          </w:tcPr>
          <w:p w14:paraId="4F72217B" w14:textId="77777777" w:rsidR="00A33DC5" w:rsidRDefault="00A33DC5">
            <w:pPr>
              <w:pStyle w:val="Bezodstpw"/>
            </w:pPr>
            <w:r>
              <w:t>50</w:t>
            </w:r>
          </w:p>
        </w:tc>
      </w:tr>
      <w:tr w:rsidR="00A33DC5" w14:paraId="7E0E84F1" w14:textId="77777777" w:rsidTr="00A33DC5">
        <w:tc>
          <w:tcPr>
            <w:tcW w:w="0" w:type="auto"/>
            <w:vMerge/>
            <w:tcBorders>
              <w:top w:val="single" w:sz="4" w:space="0" w:color="auto"/>
              <w:left w:val="single" w:sz="4" w:space="0" w:color="auto"/>
              <w:bottom w:val="single" w:sz="4" w:space="0" w:color="auto"/>
              <w:right w:val="single" w:sz="4" w:space="0" w:color="auto"/>
            </w:tcBorders>
            <w:vAlign w:val="center"/>
            <w:hideMark/>
          </w:tcPr>
          <w:p w14:paraId="5B43E191" w14:textId="77777777" w:rsidR="00A33DC5" w:rsidRDefault="00A33DC5">
            <w:pPr>
              <w:overflowPunct/>
              <w:autoSpaceDE/>
              <w:autoSpaceDN/>
              <w:adjustRightInd/>
              <w:ind w:firstLine="0"/>
              <w:jc w:val="left"/>
              <w:rPr>
                <w:szCs w:val="22"/>
                <w:lang w:eastAsia="en-US"/>
              </w:rPr>
            </w:pPr>
          </w:p>
        </w:tc>
        <w:tc>
          <w:tcPr>
            <w:tcW w:w="2452" w:type="dxa"/>
            <w:tcBorders>
              <w:top w:val="single" w:sz="4" w:space="0" w:color="auto"/>
              <w:left w:val="single" w:sz="4" w:space="0" w:color="auto"/>
              <w:bottom w:val="single" w:sz="4" w:space="0" w:color="auto"/>
              <w:right w:val="single" w:sz="4" w:space="0" w:color="auto"/>
            </w:tcBorders>
            <w:hideMark/>
          </w:tcPr>
          <w:p w14:paraId="563163B9" w14:textId="77777777" w:rsidR="00A33DC5" w:rsidRDefault="00A33DC5">
            <w:pPr>
              <w:pStyle w:val="Bezodstpw"/>
            </w:pPr>
            <w:r>
              <w:t>G1</w:t>
            </w:r>
          </w:p>
        </w:tc>
        <w:tc>
          <w:tcPr>
            <w:tcW w:w="2452" w:type="dxa"/>
            <w:tcBorders>
              <w:top w:val="single" w:sz="4" w:space="0" w:color="auto"/>
              <w:left w:val="single" w:sz="4" w:space="0" w:color="auto"/>
              <w:bottom w:val="single" w:sz="4" w:space="0" w:color="auto"/>
              <w:right w:val="single" w:sz="4" w:space="0" w:color="auto"/>
            </w:tcBorders>
            <w:hideMark/>
          </w:tcPr>
          <w:p w14:paraId="3FCB8733" w14:textId="77777777" w:rsidR="00A33DC5" w:rsidRDefault="00A33DC5">
            <w:pPr>
              <w:pStyle w:val="Bezodstpw"/>
            </w:pPr>
            <w:r>
              <w:t>80</w:t>
            </w:r>
          </w:p>
        </w:tc>
      </w:tr>
    </w:tbl>
    <w:p w14:paraId="0E0F1474" w14:textId="77777777" w:rsidR="00A33DC5" w:rsidRDefault="00A33DC5" w:rsidP="00A33DC5"/>
    <w:p w14:paraId="73906634" w14:textId="77777777" w:rsidR="00A33DC5" w:rsidRDefault="00A33DC5" w:rsidP="00A33DC5">
      <w:pPr>
        <w:pStyle w:val="Nagwek2"/>
        <w:ind w:left="426" w:hanging="426"/>
      </w:pPr>
      <w:bookmarkStart w:id="252" w:name="_Toc406913860"/>
      <w:bookmarkStart w:id="253" w:name="_Toc406914105"/>
      <w:bookmarkStart w:id="254" w:name="_Toc406914759"/>
      <w:bookmarkStart w:id="255" w:name="_Toc406914862"/>
      <w:bookmarkStart w:id="256" w:name="_Toc406915337"/>
      <w:bookmarkStart w:id="257" w:name="_Toc406984030"/>
      <w:bookmarkStart w:id="258" w:name="_Toc406984177"/>
      <w:bookmarkStart w:id="259" w:name="_Toc406984368"/>
      <w:bookmarkStart w:id="260" w:name="_Toc407069576"/>
      <w:bookmarkStart w:id="261" w:name="_Toc407081541"/>
      <w:bookmarkStart w:id="262" w:name="_Toc407083340"/>
      <w:bookmarkStart w:id="263" w:name="_Toc407084174"/>
      <w:bookmarkStart w:id="264" w:name="_Toc407085293"/>
      <w:bookmarkStart w:id="265" w:name="_Toc407085436"/>
      <w:bookmarkStart w:id="266" w:name="_Toc407085579"/>
      <w:bookmarkStart w:id="267" w:name="_Toc407086027"/>
      <w:bookmarkStart w:id="268" w:name="_Toc495829824"/>
      <w:r>
        <w:rPr>
          <w:b/>
        </w:rPr>
        <w:t>6.3. Zasady postępowania z wadliwie wykonanymi odcinkami koryta (profilowanego</w:t>
      </w:r>
      <w:bookmarkEnd w:id="252"/>
      <w:bookmarkEnd w:id="253"/>
      <w:bookmarkEnd w:id="254"/>
      <w:bookmarkEnd w:id="255"/>
      <w:bookmarkEnd w:id="256"/>
      <w:r>
        <w:rPr>
          <w:b/>
        </w:rPr>
        <w:t xml:space="preserve"> podłoża)</w:t>
      </w:r>
      <w:bookmarkEnd w:id="257"/>
      <w:bookmarkEnd w:id="258"/>
      <w:bookmarkEnd w:id="259"/>
      <w:bookmarkEnd w:id="260"/>
      <w:bookmarkEnd w:id="261"/>
      <w:bookmarkEnd w:id="262"/>
      <w:bookmarkEnd w:id="263"/>
      <w:bookmarkEnd w:id="264"/>
      <w:bookmarkEnd w:id="265"/>
      <w:bookmarkEnd w:id="266"/>
      <w:bookmarkEnd w:id="267"/>
      <w:bookmarkEnd w:id="268"/>
    </w:p>
    <w:p w14:paraId="05ADBE59" w14:textId="77777777" w:rsidR="00A33DC5" w:rsidRDefault="00A33DC5" w:rsidP="00A33DC5">
      <w: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t>10 cm</w:t>
        </w:r>
      </w:smartTag>
      <w:r>
        <w:t>, wyrównanie i powtórne zagęszczenie. Dodanie nowego materiału bez spulchnienia wykonanej warstwy jest niedopuszczalne.</w:t>
      </w:r>
    </w:p>
    <w:p w14:paraId="756C0DB5" w14:textId="77777777" w:rsidR="00A33DC5" w:rsidRDefault="00A33DC5" w:rsidP="00A33DC5">
      <w:pPr>
        <w:pStyle w:val="Nagwek1"/>
        <w:rPr>
          <w:b/>
        </w:rPr>
      </w:pPr>
      <w:bookmarkStart w:id="269" w:name="_Toc406913861"/>
      <w:bookmarkStart w:id="270" w:name="_Toc406914106"/>
      <w:bookmarkStart w:id="271" w:name="_Toc406914760"/>
      <w:bookmarkStart w:id="272" w:name="_Toc406915338"/>
      <w:bookmarkStart w:id="273" w:name="_Toc406984031"/>
      <w:bookmarkStart w:id="274" w:name="_Toc406984178"/>
      <w:bookmarkStart w:id="275" w:name="_Toc406984369"/>
      <w:bookmarkStart w:id="276" w:name="_Toc407069577"/>
      <w:bookmarkStart w:id="277" w:name="_Toc407081542"/>
      <w:bookmarkStart w:id="278" w:name="_Toc407083341"/>
      <w:bookmarkStart w:id="279" w:name="_Toc407084175"/>
      <w:bookmarkStart w:id="280" w:name="_Toc407085294"/>
      <w:bookmarkStart w:id="281" w:name="_Toc407085437"/>
      <w:bookmarkStart w:id="282" w:name="_Toc407085580"/>
      <w:bookmarkStart w:id="283" w:name="_Toc407086028"/>
      <w:bookmarkStart w:id="284" w:name="_Toc495829825"/>
      <w:r>
        <w:rPr>
          <w:b/>
        </w:rPr>
        <w:t>7. obmiar robót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4D56CD7E" w14:textId="77777777" w:rsidR="00A33DC5" w:rsidRDefault="00A33DC5" w:rsidP="00A33DC5">
      <w:pPr>
        <w:pStyle w:val="Nagwek2"/>
        <w:rPr>
          <w:b/>
        </w:rPr>
      </w:pPr>
      <w:bookmarkStart w:id="285" w:name="_Toc406913862"/>
      <w:bookmarkStart w:id="286" w:name="_Toc406914107"/>
      <w:bookmarkStart w:id="287" w:name="_Toc406914761"/>
      <w:bookmarkStart w:id="288" w:name="_Toc406915339"/>
      <w:bookmarkStart w:id="289" w:name="_Toc406984032"/>
      <w:bookmarkStart w:id="290" w:name="_Toc406984179"/>
      <w:bookmarkStart w:id="291" w:name="_Toc406984370"/>
      <w:bookmarkStart w:id="292" w:name="_Toc407069578"/>
      <w:bookmarkStart w:id="293" w:name="_Toc407081543"/>
      <w:bookmarkStart w:id="294" w:name="_Toc407083342"/>
      <w:bookmarkStart w:id="295" w:name="_Toc407084176"/>
      <w:bookmarkStart w:id="296" w:name="_Toc407085295"/>
      <w:bookmarkStart w:id="297" w:name="_Toc407085438"/>
      <w:bookmarkStart w:id="298" w:name="_Toc407085581"/>
      <w:bookmarkStart w:id="299" w:name="_Toc407086029"/>
      <w:bookmarkStart w:id="300" w:name="_Toc495829826"/>
      <w:r>
        <w:rPr>
          <w:b/>
        </w:rPr>
        <w:t>7.1. Ogólne zasady obmiaru robót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616349E" w14:textId="77777777" w:rsidR="00A33DC5" w:rsidRDefault="00A33DC5" w:rsidP="00A33DC5">
      <w:r>
        <w:t>Ogólne zasady obmiaru robót podano w SST D-M-00.00.00 „Wymagania ogólne” pkt 7.</w:t>
      </w:r>
    </w:p>
    <w:p w14:paraId="6CED3CB4" w14:textId="77777777" w:rsidR="00A33DC5" w:rsidRDefault="00A33DC5" w:rsidP="00A33DC5">
      <w:pPr>
        <w:pStyle w:val="Nagwek2"/>
        <w:rPr>
          <w:b/>
        </w:rPr>
      </w:pPr>
      <w:bookmarkStart w:id="301" w:name="_Toc406913863"/>
      <w:bookmarkStart w:id="302" w:name="_Toc406914108"/>
      <w:bookmarkStart w:id="303" w:name="_Toc406914762"/>
      <w:bookmarkStart w:id="304" w:name="_Toc406915340"/>
      <w:bookmarkStart w:id="305" w:name="_Toc406984033"/>
      <w:bookmarkStart w:id="306" w:name="_Toc406984180"/>
      <w:bookmarkStart w:id="307" w:name="_Toc406984371"/>
      <w:bookmarkStart w:id="308" w:name="_Toc407069579"/>
      <w:bookmarkStart w:id="309" w:name="_Toc407081544"/>
      <w:bookmarkStart w:id="310" w:name="_Toc407083343"/>
      <w:bookmarkStart w:id="311" w:name="_Toc407084177"/>
      <w:bookmarkStart w:id="312" w:name="_Toc407085296"/>
      <w:bookmarkStart w:id="313" w:name="_Toc407085439"/>
      <w:bookmarkStart w:id="314" w:name="_Toc407085582"/>
      <w:bookmarkStart w:id="315" w:name="_Toc407086030"/>
      <w:bookmarkStart w:id="316" w:name="_Toc495829827"/>
      <w:r>
        <w:rPr>
          <w:b/>
        </w:rPr>
        <w:t>7.2. Jednostka obmiarowa</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643EC524" w14:textId="77777777" w:rsidR="00A33DC5" w:rsidRDefault="00A33DC5" w:rsidP="00A33DC5">
      <w:r>
        <w:t>Jednostką obmiarową jest m</w:t>
      </w:r>
      <w:r>
        <w:rPr>
          <w:vertAlign w:val="superscript"/>
        </w:rPr>
        <w:t>2</w:t>
      </w:r>
      <w:r>
        <w:t xml:space="preserve"> (metr kwadratowy) wykonanego i odebranego koryta.</w:t>
      </w:r>
    </w:p>
    <w:p w14:paraId="571DEABE" w14:textId="77777777" w:rsidR="00A33DC5" w:rsidRDefault="00A33DC5" w:rsidP="00A33DC5">
      <w:pPr>
        <w:pStyle w:val="Nagwek1"/>
        <w:rPr>
          <w:b/>
        </w:rPr>
      </w:pPr>
      <w:bookmarkStart w:id="317" w:name="_Toc406913864"/>
      <w:bookmarkStart w:id="318" w:name="_Toc406914109"/>
      <w:bookmarkStart w:id="319" w:name="_Toc406914763"/>
      <w:bookmarkStart w:id="320" w:name="_Toc406915341"/>
      <w:bookmarkStart w:id="321" w:name="_Toc406984034"/>
      <w:bookmarkStart w:id="322" w:name="_Toc406984181"/>
      <w:bookmarkStart w:id="323" w:name="_Toc406984372"/>
      <w:bookmarkStart w:id="324" w:name="_Toc407069580"/>
      <w:bookmarkStart w:id="325" w:name="_Toc407081545"/>
      <w:bookmarkStart w:id="326" w:name="_Toc407083344"/>
      <w:bookmarkStart w:id="327" w:name="_Toc407084178"/>
      <w:bookmarkStart w:id="328" w:name="_Toc407085297"/>
      <w:bookmarkStart w:id="329" w:name="_Toc407085440"/>
      <w:bookmarkStart w:id="330" w:name="_Toc407085583"/>
      <w:bookmarkStart w:id="331" w:name="_Toc407086031"/>
      <w:bookmarkStart w:id="332" w:name="_Toc495829828"/>
      <w:r>
        <w:rPr>
          <w:b/>
        </w:rPr>
        <w:t>8. odbiór robót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31C34DBF" w14:textId="77777777" w:rsidR="00A33DC5" w:rsidRDefault="00A33DC5" w:rsidP="00A33DC5">
      <w:r>
        <w:t>Ogólne zasady odbioru robót podano w SST D-M-00.00.00 „Wymagania ogólne” pkt 8.</w:t>
      </w:r>
    </w:p>
    <w:p w14:paraId="2C8A603F" w14:textId="77777777" w:rsidR="00A33DC5" w:rsidRDefault="00A33DC5" w:rsidP="00A33DC5">
      <w:r>
        <w:t>Roboty uznaje się za wykonane zgodnie z dokumentacja projektową, SST i wymaganiami Inżyniera, jeżeli wszystkie pomiary i badania z zachowaniem tolerancji wg punktu 6 dały wyniki pozytywne.</w:t>
      </w:r>
    </w:p>
    <w:p w14:paraId="539B0BC8" w14:textId="77777777" w:rsidR="00A33DC5" w:rsidRDefault="00A33DC5" w:rsidP="00A33DC5">
      <w:pPr>
        <w:pStyle w:val="Nagwek1"/>
        <w:rPr>
          <w:b/>
        </w:rPr>
      </w:pPr>
      <w:bookmarkStart w:id="333" w:name="_Toc406913865"/>
      <w:bookmarkStart w:id="334" w:name="_Toc406914110"/>
      <w:bookmarkStart w:id="335" w:name="_Toc406914764"/>
      <w:bookmarkStart w:id="336" w:name="_Toc406915342"/>
      <w:bookmarkStart w:id="337" w:name="_Toc406984035"/>
      <w:bookmarkStart w:id="338" w:name="_Toc406984182"/>
      <w:bookmarkStart w:id="339" w:name="_Toc406984373"/>
      <w:bookmarkStart w:id="340" w:name="_Toc407069581"/>
      <w:bookmarkStart w:id="341" w:name="_Toc407081546"/>
      <w:bookmarkStart w:id="342" w:name="_Toc407083345"/>
      <w:bookmarkStart w:id="343" w:name="_Toc407084179"/>
      <w:bookmarkStart w:id="344" w:name="_Toc407085298"/>
      <w:bookmarkStart w:id="345" w:name="_Toc407085441"/>
      <w:bookmarkStart w:id="346" w:name="_Toc407085584"/>
      <w:bookmarkStart w:id="347" w:name="_Toc407086032"/>
      <w:bookmarkStart w:id="348" w:name="_Toc495829829"/>
      <w:r>
        <w:rPr>
          <w:b/>
        </w:rPr>
        <w:t>9. podstawa płatności</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E1FC8A6" w14:textId="77777777" w:rsidR="00A33DC5" w:rsidRDefault="00A33DC5" w:rsidP="00A33DC5">
      <w:pPr>
        <w:pStyle w:val="Nagwek2"/>
        <w:rPr>
          <w:b/>
        </w:rPr>
      </w:pPr>
      <w:bookmarkStart w:id="349" w:name="_Toc406913866"/>
      <w:bookmarkStart w:id="350" w:name="_Toc406914111"/>
      <w:bookmarkStart w:id="351" w:name="_Toc406914765"/>
      <w:bookmarkStart w:id="352" w:name="_Toc406915343"/>
      <w:bookmarkStart w:id="353" w:name="_Toc406984036"/>
      <w:bookmarkStart w:id="354" w:name="_Toc406984183"/>
      <w:bookmarkStart w:id="355" w:name="_Toc406984374"/>
      <w:bookmarkStart w:id="356" w:name="_Toc407069582"/>
      <w:bookmarkStart w:id="357" w:name="_Toc407081547"/>
      <w:bookmarkStart w:id="358" w:name="_Toc407083346"/>
      <w:bookmarkStart w:id="359" w:name="_Toc407084180"/>
      <w:bookmarkStart w:id="360" w:name="_Toc407085299"/>
      <w:bookmarkStart w:id="361" w:name="_Toc407085442"/>
      <w:bookmarkStart w:id="362" w:name="_Toc407085585"/>
      <w:bookmarkStart w:id="363" w:name="_Toc407086033"/>
      <w:bookmarkStart w:id="364" w:name="_Toc495829830"/>
      <w:r>
        <w:rPr>
          <w:b/>
        </w:rPr>
        <w:t>9.1. Ogólne ustalenia dotyczące podstawy płatności</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4619612" w14:textId="77777777" w:rsidR="00A33DC5" w:rsidRDefault="00A33DC5" w:rsidP="00A33DC5">
      <w:r>
        <w:t>Ogólne ustalenia dotyczące podstawy płatności podano w SST D-M-00.00.00 „Wymagania ogólne” pkt 9.</w:t>
      </w:r>
    </w:p>
    <w:p w14:paraId="4EC6FD7D" w14:textId="77777777" w:rsidR="00A33DC5" w:rsidRDefault="00A33DC5" w:rsidP="00A33DC5">
      <w:pPr>
        <w:pStyle w:val="Nagwek2"/>
        <w:rPr>
          <w:b/>
        </w:rPr>
      </w:pPr>
      <w:bookmarkStart w:id="365" w:name="_Toc406913867"/>
      <w:bookmarkStart w:id="366" w:name="_Toc406914112"/>
      <w:bookmarkStart w:id="367" w:name="_Toc406914766"/>
      <w:bookmarkStart w:id="368" w:name="_Toc406915344"/>
      <w:bookmarkStart w:id="369" w:name="_Toc406984037"/>
      <w:bookmarkStart w:id="370" w:name="_Toc406984184"/>
      <w:bookmarkStart w:id="371" w:name="_Toc406984375"/>
      <w:bookmarkStart w:id="372" w:name="_Toc407069583"/>
      <w:bookmarkStart w:id="373" w:name="_Toc407081548"/>
      <w:bookmarkStart w:id="374" w:name="_Toc407083347"/>
      <w:bookmarkStart w:id="375" w:name="_Toc407084181"/>
      <w:bookmarkStart w:id="376" w:name="_Toc407085300"/>
      <w:bookmarkStart w:id="377" w:name="_Toc407085443"/>
      <w:bookmarkStart w:id="378" w:name="_Toc407085586"/>
      <w:bookmarkStart w:id="379" w:name="_Toc407086034"/>
      <w:bookmarkStart w:id="380" w:name="_Toc495829831"/>
      <w:r>
        <w:rPr>
          <w:b/>
        </w:rPr>
        <w:t>9.2. Cena jednostki obmiarowej</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42F79328" w14:textId="77777777" w:rsidR="00A33DC5" w:rsidRDefault="00A33DC5" w:rsidP="00A33DC5">
      <w:r>
        <w:t xml:space="preserve">Cena wykonania </w:t>
      </w:r>
      <w:smartTag w:uri="urn:schemas-microsoft-com:office:smarttags" w:element="metricconverter">
        <w:smartTagPr>
          <w:attr w:name="ProductID" w:val="1 m2"/>
        </w:smartTagPr>
        <w:r>
          <w:t>1 m</w:t>
        </w:r>
        <w:r>
          <w:rPr>
            <w:vertAlign w:val="superscript"/>
          </w:rPr>
          <w:t>2</w:t>
        </w:r>
      </w:smartTag>
      <w:r>
        <w:t xml:space="preserve"> koryta obejmuje:</w:t>
      </w:r>
    </w:p>
    <w:p w14:paraId="2ED52AD7" w14:textId="77777777" w:rsidR="00A33DC5" w:rsidRDefault="00A33DC5" w:rsidP="00A33DC5">
      <w:pPr>
        <w:pStyle w:val="Nagwek8"/>
      </w:pPr>
      <w:r>
        <w:t>prace pomiarowe i roboty przygotowawcze,</w:t>
      </w:r>
    </w:p>
    <w:p w14:paraId="42D9549E" w14:textId="77777777" w:rsidR="00A33DC5" w:rsidRDefault="00A33DC5" w:rsidP="00A33DC5">
      <w:pPr>
        <w:pStyle w:val="Nagwek8"/>
      </w:pPr>
      <w:r>
        <w:t>odspojenie gruntu z przerzutem na pobocze i rozplantowaniem,</w:t>
      </w:r>
    </w:p>
    <w:p w14:paraId="26901B6D" w14:textId="77777777" w:rsidR="00A33DC5" w:rsidRDefault="00A33DC5" w:rsidP="00A33DC5">
      <w:pPr>
        <w:pStyle w:val="Nagwek8"/>
      </w:pPr>
      <w:r>
        <w:t>załadunek nadmiaru odspojonego gruntu na środki transportowe i odwiezienie na odkład lub nasyp,</w:t>
      </w:r>
    </w:p>
    <w:p w14:paraId="0178D8E7" w14:textId="77777777" w:rsidR="00A33DC5" w:rsidRDefault="00A33DC5" w:rsidP="00A33DC5">
      <w:pPr>
        <w:pStyle w:val="Nagwek8"/>
      </w:pPr>
      <w:r>
        <w:t>profilowanie dna koryta lub podłoża,</w:t>
      </w:r>
    </w:p>
    <w:p w14:paraId="1425C128" w14:textId="77777777" w:rsidR="00A33DC5" w:rsidRDefault="00A33DC5" w:rsidP="00A33DC5">
      <w:pPr>
        <w:pStyle w:val="Nagwek8"/>
      </w:pPr>
      <w:r>
        <w:t>zagęszczenie,</w:t>
      </w:r>
    </w:p>
    <w:p w14:paraId="076FC798" w14:textId="77777777" w:rsidR="00A33DC5" w:rsidRDefault="00A33DC5" w:rsidP="00A33DC5">
      <w:pPr>
        <w:pStyle w:val="Nagwek8"/>
      </w:pPr>
      <w:r>
        <w:t>utrzymanie koryta lub podłoża,</w:t>
      </w:r>
    </w:p>
    <w:p w14:paraId="6648C9B3" w14:textId="77777777" w:rsidR="00A33DC5" w:rsidRDefault="00A33DC5" w:rsidP="00A33DC5">
      <w:pPr>
        <w:pStyle w:val="Nagwek8"/>
      </w:pPr>
      <w:r>
        <w:t>przeprowadzenie pomiarów i badań laboratoryjnych, wymaganych w specyfikacji technicznej.</w:t>
      </w:r>
    </w:p>
    <w:p w14:paraId="116ED86C" w14:textId="77777777" w:rsidR="00A33DC5" w:rsidRDefault="00A33DC5" w:rsidP="00A33DC5">
      <w:pPr>
        <w:pStyle w:val="Nagwek1"/>
        <w:rPr>
          <w:b/>
        </w:rPr>
      </w:pPr>
      <w:bookmarkStart w:id="381" w:name="_Toc406913868"/>
      <w:bookmarkStart w:id="382" w:name="_Toc406914113"/>
      <w:bookmarkStart w:id="383" w:name="_Toc406914767"/>
      <w:bookmarkStart w:id="384" w:name="_Toc406915345"/>
      <w:bookmarkStart w:id="385" w:name="_Toc406984038"/>
      <w:bookmarkStart w:id="386" w:name="_Toc406984185"/>
      <w:bookmarkStart w:id="387" w:name="_Toc406984376"/>
      <w:bookmarkStart w:id="388" w:name="_Toc407069584"/>
      <w:bookmarkStart w:id="389" w:name="_Toc407081549"/>
      <w:bookmarkStart w:id="390" w:name="_Toc407083348"/>
      <w:bookmarkStart w:id="391" w:name="_Toc407084182"/>
      <w:bookmarkStart w:id="392" w:name="_Toc407085301"/>
      <w:bookmarkStart w:id="393" w:name="_Toc407085444"/>
      <w:bookmarkStart w:id="394" w:name="_Toc407085587"/>
      <w:bookmarkStart w:id="395" w:name="_Toc407086035"/>
      <w:bookmarkStart w:id="396" w:name="_Toc495829832"/>
      <w:r>
        <w:rPr>
          <w:b/>
        </w:rPr>
        <w:t>10. przepisy związane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47150BE" w14:textId="77777777" w:rsidR="00A33DC5" w:rsidRDefault="00A33DC5" w:rsidP="00A33DC5">
      <w:pPr>
        <w:pStyle w:val="Nagwek2"/>
        <w:rPr>
          <w:b/>
        </w:rPr>
      </w:pPr>
      <w:bookmarkStart w:id="397" w:name="_Toc406913869"/>
      <w:bookmarkStart w:id="398" w:name="_Toc406914114"/>
      <w:bookmarkStart w:id="399" w:name="_Toc406914768"/>
      <w:bookmarkStart w:id="400" w:name="_Toc406915346"/>
      <w:bookmarkStart w:id="401" w:name="_Toc406984039"/>
      <w:bookmarkStart w:id="402" w:name="_Toc406984186"/>
      <w:bookmarkStart w:id="403" w:name="_Toc406984377"/>
      <w:bookmarkStart w:id="404" w:name="_Toc407069585"/>
      <w:bookmarkStart w:id="405" w:name="_Toc407081550"/>
      <w:bookmarkStart w:id="406" w:name="_Toc407083349"/>
      <w:bookmarkStart w:id="407" w:name="_Toc407084183"/>
      <w:bookmarkStart w:id="408" w:name="_Toc407085302"/>
      <w:bookmarkStart w:id="409" w:name="_Toc407085445"/>
      <w:bookmarkStart w:id="410" w:name="_Toc407085588"/>
      <w:bookmarkStart w:id="411" w:name="_Toc407086036"/>
      <w:bookmarkStart w:id="412" w:name="_Toc495829833"/>
      <w:r>
        <w:rPr>
          <w:b/>
        </w:rPr>
        <w:t>Normy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bl>
      <w:tblPr>
        <w:tblW w:w="0" w:type="auto"/>
        <w:tblLayout w:type="fixed"/>
        <w:tblCellMar>
          <w:left w:w="70" w:type="dxa"/>
          <w:right w:w="70" w:type="dxa"/>
        </w:tblCellMar>
        <w:tblLook w:val="04A0" w:firstRow="1" w:lastRow="0" w:firstColumn="1" w:lastColumn="0" w:noHBand="0" w:noVBand="1"/>
      </w:tblPr>
      <w:tblGrid>
        <w:gridCol w:w="496"/>
        <w:gridCol w:w="1701"/>
        <w:gridCol w:w="5313"/>
      </w:tblGrid>
      <w:tr w:rsidR="00A33DC5" w14:paraId="0C8EB336" w14:textId="77777777" w:rsidTr="00A33DC5">
        <w:trPr>
          <w:trHeight w:val="341"/>
        </w:trPr>
        <w:tc>
          <w:tcPr>
            <w:tcW w:w="496" w:type="dxa"/>
            <w:hideMark/>
          </w:tcPr>
          <w:p w14:paraId="6A337AFD" w14:textId="77777777" w:rsidR="00A33DC5" w:rsidRDefault="00A33DC5">
            <w:pPr>
              <w:pStyle w:val="Bezodstpw"/>
            </w:pPr>
            <w:r>
              <w:t>1.</w:t>
            </w:r>
          </w:p>
        </w:tc>
        <w:tc>
          <w:tcPr>
            <w:tcW w:w="1701" w:type="dxa"/>
            <w:hideMark/>
          </w:tcPr>
          <w:p w14:paraId="54022050" w14:textId="77777777" w:rsidR="00A33DC5" w:rsidRDefault="00A33DC5">
            <w:pPr>
              <w:pStyle w:val="Bezodstpw"/>
            </w:pPr>
            <w:r>
              <w:t>PN-B-04481</w:t>
            </w:r>
          </w:p>
        </w:tc>
        <w:tc>
          <w:tcPr>
            <w:tcW w:w="5313" w:type="dxa"/>
            <w:hideMark/>
          </w:tcPr>
          <w:p w14:paraId="709E862F" w14:textId="77777777" w:rsidR="00A33DC5" w:rsidRDefault="00A33DC5">
            <w:pPr>
              <w:pStyle w:val="Bezodstpw"/>
            </w:pPr>
            <w:r>
              <w:t>Grunty budowlane. Badania próbek gruntu</w:t>
            </w:r>
          </w:p>
        </w:tc>
      </w:tr>
      <w:tr w:rsidR="00A33DC5" w14:paraId="2F799E2E" w14:textId="77777777" w:rsidTr="00A33DC5">
        <w:tc>
          <w:tcPr>
            <w:tcW w:w="496" w:type="dxa"/>
            <w:hideMark/>
          </w:tcPr>
          <w:p w14:paraId="597DD517" w14:textId="77777777" w:rsidR="00A33DC5" w:rsidRDefault="00A33DC5">
            <w:pPr>
              <w:pStyle w:val="Bezodstpw"/>
            </w:pPr>
            <w:r>
              <w:t>2.</w:t>
            </w:r>
          </w:p>
        </w:tc>
        <w:tc>
          <w:tcPr>
            <w:tcW w:w="1701" w:type="dxa"/>
            <w:hideMark/>
          </w:tcPr>
          <w:p w14:paraId="4B64AF38" w14:textId="77777777" w:rsidR="00A33DC5" w:rsidRPr="00A33DC5" w:rsidRDefault="00BE0831">
            <w:pPr>
              <w:pStyle w:val="Bezodstpw"/>
            </w:pPr>
            <w:hyperlink r:id="rId5" w:history="1">
              <w:r w:rsidR="00A33DC5" w:rsidRPr="00A33DC5">
                <w:rPr>
                  <w:rStyle w:val="Hipercze"/>
                  <w:color w:val="auto"/>
                </w:rPr>
                <w:t>PN-EN 1097-5:2001</w:t>
              </w:r>
            </w:hyperlink>
          </w:p>
        </w:tc>
        <w:tc>
          <w:tcPr>
            <w:tcW w:w="5313" w:type="dxa"/>
            <w:hideMark/>
          </w:tcPr>
          <w:p w14:paraId="70A2C557" w14:textId="77777777" w:rsidR="00A33DC5" w:rsidRDefault="00A33DC5">
            <w:pPr>
              <w:pStyle w:val="Bezodstpw"/>
            </w:pPr>
            <w:r>
              <w:t>Badania mechanicznych i fizycznych właściwości kruszyw -- Część 5: Oznaczanie zawartości wody przez suszenie w suszarce z wentylacją</w:t>
            </w:r>
          </w:p>
        </w:tc>
      </w:tr>
      <w:tr w:rsidR="00A33DC5" w14:paraId="238AD64D" w14:textId="77777777" w:rsidTr="00A33DC5">
        <w:tc>
          <w:tcPr>
            <w:tcW w:w="496" w:type="dxa"/>
            <w:hideMark/>
          </w:tcPr>
          <w:p w14:paraId="67B6230D" w14:textId="77777777" w:rsidR="00A33DC5" w:rsidRDefault="00A33DC5">
            <w:pPr>
              <w:pStyle w:val="Bezodstpw"/>
            </w:pPr>
            <w:r>
              <w:t>4.</w:t>
            </w:r>
          </w:p>
        </w:tc>
        <w:tc>
          <w:tcPr>
            <w:tcW w:w="1701" w:type="dxa"/>
            <w:hideMark/>
          </w:tcPr>
          <w:p w14:paraId="516B897B" w14:textId="77777777" w:rsidR="00A33DC5" w:rsidRDefault="00A33DC5">
            <w:pPr>
              <w:pStyle w:val="Bezodstpw"/>
            </w:pPr>
            <w:r>
              <w:t>PN-S-02205</w:t>
            </w:r>
          </w:p>
        </w:tc>
        <w:tc>
          <w:tcPr>
            <w:tcW w:w="5313" w:type="dxa"/>
            <w:hideMark/>
          </w:tcPr>
          <w:p w14:paraId="258612C5" w14:textId="77777777" w:rsidR="00A33DC5" w:rsidRPr="00A33DC5" w:rsidRDefault="00BE0831">
            <w:pPr>
              <w:pStyle w:val="Bezodstpw"/>
            </w:pPr>
            <w:hyperlink r:id="rId6" w:history="1">
              <w:r w:rsidR="00A33DC5" w:rsidRPr="00A33DC5">
                <w:rPr>
                  <w:rStyle w:val="Hipercze"/>
                  <w:color w:val="auto"/>
                </w:rPr>
                <w:t>Drogi samochodowe -- Roboty ziemne -- Wymagania i badania</w:t>
              </w:r>
            </w:hyperlink>
          </w:p>
        </w:tc>
      </w:tr>
      <w:tr w:rsidR="00A33DC5" w14:paraId="0F6F2D83" w14:textId="77777777" w:rsidTr="00A33DC5">
        <w:tc>
          <w:tcPr>
            <w:tcW w:w="496" w:type="dxa"/>
            <w:hideMark/>
          </w:tcPr>
          <w:p w14:paraId="204C0D6F" w14:textId="77777777" w:rsidR="00A33DC5" w:rsidRDefault="00A33DC5">
            <w:pPr>
              <w:pStyle w:val="Bezodstpw"/>
            </w:pPr>
            <w:r>
              <w:t>5.</w:t>
            </w:r>
          </w:p>
        </w:tc>
        <w:tc>
          <w:tcPr>
            <w:tcW w:w="1701" w:type="dxa"/>
            <w:hideMark/>
          </w:tcPr>
          <w:p w14:paraId="20AC1D6A" w14:textId="77777777" w:rsidR="00A33DC5" w:rsidRDefault="00A33DC5">
            <w:pPr>
              <w:pStyle w:val="Bezodstpw"/>
            </w:pPr>
            <w:r>
              <w:t>BN-77/8931-12</w:t>
            </w:r>
          </w:p>
        </w:tc>
        <w:tc>
          <w:tcPr>
            <w:tcW w:w="5313" w:type="dxa"/>
            <w:hideMark/>
          </w:tcPr>
          <w:p w14:paraId="05F126EE" w14:textId="77777777" w:rsidR="00A33DC5" w:rsidRDefault="00A33DC5">
            <w:pPr>
              <w:pStyle w:val="Bezodstpw"/>
            </w:pPr>
            <w:r>
              <w:t>Oznaczanie wskaźnika zagęszczenia gruntu</w:t>
            </w:r>
          </w:p>
        </w:tc>
      </w:tr>
      <w:tr w:rsidR="00A33DC5" w14:paraId="090F5F3B" w14:textId="77777777" w:rsidTr="00A33DC5">
        <w:tc>
          <w:tcPr>
            <w:tcW w:w="496" w:type="dxa"/>
            <w:hideMark/>
          </w:tcPr>
          <w:p w14:paraId="3731C525" w14:textId="77777777" w:rsidR="00A33DC5" w:rsidRDefault="00A33DC5">
            <w:pPr>
              <w:pStyle w:val="Bezodstpw"/>
            </w:pPr>
            <w:r>
              <w:t>6.</w:t>
            </w:r>
          </w:p>
        </w:tc>
        <w:tc>
          <w:tcPr>
            <w:tcW w:w="1701" w:type="dxa"/>
            <w:hideMark/>
          </w:tcPr>
          <w:p w14:paraId="0B64EC05" w14:textId="77777777" w:rsidR="00A33DC5" w:rsidRDefault="00A33DC5">
            <w:pPr>
              <w:pStyle w:val="Bezodstpw"/>
            </w:pPr>
            <w:r>
              <w:t>PN-88/B-04481</w:t>
            </w:r>
          </w:p>
        </w:tc>
        <w:tc>
          <w:tcPr>
            <w:tcW w:w="5313" w:type="dxa"/>
          </w:tcPr>
          <w:p w14:paraId="39BF2B8C" w14:textId="77777777" w:rsidR="00A33DC5" w:rsidRDefault="00A33DC5">
            <w:pPr>
              <w:pStyle w:val="Bezodstpw"/>
            </w:pPr>
            <w:r>
              <w:t>Grunty budowlane -- Badania próbek gruntu</w:t>
            </w:r>
          </w:p>
          <w:p w14:paraId="75F66862" w14:textId="77777777" w:rsidR="00A33DC5" w:rsidRDefault="00A33DC5">
            <w:pPr>
              <w:pStyle w:val="Bezodstpw"/>
            </w:pPr>
          </w:p>
        </w:tc>
      </w:tr>
      <w:tr w:rsidR="00A33DC5" w14:paraId="75215F1F" w14:textId="77777777" w:rsidTr="00A33DC5">
        <w:tc>
          <w:tcPr>
            <w:tcW w:w="496" w:type="dxa"/>
            <w:hideMark/>
          </w:tcPr>
          <w:p w14:paraId="2DC51601" w14:textId="77777777" w:rsidR="00A33DC5" w:rsidRDefault="00A33DC5">
            <w:pPr>
              <w:pStyle w:val="Bezodstpw"/>
            </w:pPr>
            <w:r>
              <w:t>7</w:t>
            </w:r>
          </w:p>
        </w:tc>
        <w:tc>
          <w:tcPr>
            <w:tcW w:w="1701" w:type="dxa"/>
          </w:tcPr>
          <w:p w14:paraId="7CE9E759" w14:textId="77777777" w:rsidR="00A33DC5" w:rsidRDefault="00A33DC5">
            <w:pPr>
              <w:pStyle w:val="Bezodstpw"/>
            </w:pPr>
          </w:p>
        </w:tc>
        <w:tc>
          <w:tcPr>
            <w:tcW w:w="5313" w:type="dxa"/>
            <w:hideMark/>
          </w:tcPr>
          <w:p w14:paraId="345D2A02" w14:textId="77777777" w:rsidR="00A33DC5" w:rsidRDefault="00A33DC5">
            <w:pPr>
              <w:pStyle w:val="Bezodstpw"/>
            </w:pPr>
            <w:r>
              <w:t>Katalog Typowych Nawierzchni Podatnych i Półsztywnych 2014</w:t>
            </w:r>
          </w:p>
        </w:tc>
      </w:tr>
    </w:tbl>
    <w:p w14:paraId="1C4B24A5" w14:textId="77777777" w:rsidR="00A33DC5" w:rsidRDefault="00A33DC5" w:rsidP="00A33DC5">
      <w:pPr>
        <w:tabs>
          <w:tab w:val="left" w:pos="-1440"/>
          <w:tab w:val="left" w:pos="-720"/>
          <w:tab w:val="left" w:pos="0"/>
        </w:tabs>
        <w:overflowPunct/>
        <w:autoSpaceDE/>
        <w:adjustRightInd/>
        <w:ind w:firstLine="454"/>
        <w:rPr>
          <w:rFonts w:eastAsia="Calibri" w:cs="Arial"/>
          <w:spacing w:val="-3"/>
          <w:szCs w:val="22"/>
          <w:lang w:eastAsia="en-US"/>
        </w:rPr>
      </w:pPr>
    </w:p>
    <w:p w14:paraId="02EF7A9A" w14:textId="77777777" w:rsidR="008B623E" w:rsidRDefault="008B623E"/>
    <w:sectPr w:rsidR="008B6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0CE3"/>
    <w:multiLevelType w:val="hybridMultilevel"/>
    <w:tmpl w:val="008C5BE2"/>
    <w:lvl w:ilvl="0" w:tplc="9F3E8182">
      <w:start w:val="1"/>
      <w:numFmt w:val="bullet"/>
      <w:pStyle w:val="Nagwek8"/>
      <w:suff w:val="space"/>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C5"/>
    <w:rsid w:val="008B623E"/>
    <w:rsid w:val="00A33DC5"/>
    <w:rsid w:val="00BE0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DFC0B"/>
  <w15:chartTrackingRefBased/>
  <w15:docId w15:val="{F5369B1F-6BE2-4705-BC4D-31B6D5B2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DC5"/>
    <w:pPr>
      <w:overflowPunct w:val="0"/>
      <w:autoSpaceDE w:val="0"/>
      <w:autoSpaceDN w:val="0"/>
      <w:adjustRightInd w:val="0"/>
      <w:spacing w:after="0" w:line="240" w:lineRule="auto"/>
      <w:ind w:firstLine="709"/>
      <w:jc w:val="both"/>
    </w:pPr>
    <w:rPr>
      <w:rFonts w:ascii="Arial Narrow" w:eastAsia="Times New Roman" w:hAnsi="Arial Narrow" w:cs="Times New Roman"/>
      <w:sz w:val="20"/>
      <w:szCs w:val="20"/>
      <w:lang w:eastAsia="pl-PL"/>
    </w:rPr>
  </w:style>
  <w:style w:type="paragraph" w:styleId="Nagwek1">
    <w:name w:val="heading 1"/>
    <w:aliases w:val="Title 1"/>
    <w:basedOn w:val="Normalny"/>
    <w:next w:val="Normalny"/>
    <w:link w:val="Nagwek1Znak"/>
    <w:qFormat/>
    <w:rsid w:val="00A33DC5"/>
    <w:pPr>
      <w:keepNext/>
      <w:keepLines/>
      <w:suppressAutoHyphens/>
      <w:ind w:firstLine="0"/>
      <w:outlineLvl w:val="0"/>
    </w:pPr>
    <w:rPr>
      <w:caps/>
      <w:kern w:val="28"/>
      <w:sz w:val="28"/>
      <w:lang w:val="x-none" w:eastAsia="x-none"/>
    </w:rPr>
  </w:style>
  <w:style w:type="paragraph" w:styleId="Nagwek2">
    <w:name w:val="heading 2"/>
    <w:aliases w:val="Title 2"/>
    <w:basedOn w:val="Normalny"/>
    <w:next w:val="Normalny"/>
    <w:link w:val="Nagwek2Znak"/>
    <w:uiPriority w:val="9"/>
    <w:semiHidden/>
    <w:unhideWhenUsed/>
    <w:qFormat/>
    <w:rsid w:val="00A33DC5"/>
    <w:pPr>
      <w:keepNext/>
      <w:shd w:val="clear" w:color="auto" w:fill="BFBFBF"/>
      <w:ind w:firstLine="0"/>
      <w:outlineLvl w:val="1"/>
    </w:pPr>
    <w:rPr>
      <w:sz w:val="28"/>
      <w:lang w:val="x-none" w:eastAsia="x-none"/>
    </w:rPr>
  </w:style>
  <w:style w:type="paragraph" w:styleId="Nagwek3">
    <w:name w:val="heading 3"/>
    <w:aliases w:val="Title 3"/>
    <w:basedOn w:val="Normalny"/>
    <w:next w:val="Normalny"/>
    <w:link w:val="Nagwek3Znak"/>
    <w:semiHidden/>
    <w:unhideWhenUsed/>
    <w:qFormat/>
    <w:rsid w:val="00A33DC5"/>
    <w:pPr>
      <w:keepNext/>
      <w:shd w:val="clear" w:color="auto" w:fill="D9D9D9"/>
      <w:ind w:firstLine="0"/>
      <w:jc w:val="left"/>
      <w:outlineLvl w:val="2"/>
    </w:pPr>
    <w:rPr>
      <w:sz w:val="24"/>
      <w:lang w:val="x-none" w:eastAsia="x-none"/>
    </w:rPr>
  </w:style>
  <w:style w:type="paragraph" w:styleId="Nagwek8">
    <w:name w:val="heading 8"/>
    <w:aliases w:val="Punktor"/>
    <w:basedOn w:val="Normalny"/>
    <w:next w:val="Normalny"/>
    <w:link w:val="Nagwek8Znak"/>
    <w:uiPriority w:val="9"/>
    <w:semiHidden/>
    <w:unhideWhenUsed/>
    <w:qFormat/>
    <w:rsid w:val="00A33DC5"/>
    <w:pPr>
      <w:numPr>
        <w:numId w:val="1"/>
      </w:numPr>
      <w:overflowPunct/>
      <w:autoSpaceDE/>
      <w:autoSpaceDN/>
      <w:adjustRightInd/>
      <w:jc w:val="left"/>
      <w:outlineLvl w:val="7"/>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A33DC5"/>
    <w:rPr>
      <w:rFonts w:ascii="Arial Narrow" w:eastAsia="Times New Roman" w:hAnsi="Arial Narrow" w:cs="Times New Roman"/>
      <w:caps/>
      <w:kern w:val="28"/>
      <w:sz w:val="28"/>
      <w:szCs w:val="20"/>
      <w:lang w:val="x-none" w:eastAsia="x-none"/>
    </w:rPr>
  </w:style>
  <w:style w:type="character" w:customStyle="1" w:styleId="Nagwek2Znak">
    <w:name w:val="Nagłówek 2 Znak"/>
    <w:aliases w:val="Title 2 Znak"/>
    <w:basedOn w:val="Domylnaczcionkaakapitu"/>
    <w:link w:val="Nagwek2"/>
    <w:uiPriority w:val="9"/>
    <w:semiHidden/>
    <w:rsid w:val="00A33DC5"/>
    <w:rPr>
      <w:rFonts w:ascii="Arial Narrow" w:eastAsia="Times New Roman" w:hAnsi="Arial Narrow" w:cs="Times New Roman"/>
      <w:sz w:val="28"/>
      <w:szCs w:val="20"/>
      <w:shd w:val="clear" w:color="auto" w:fill="BFBFBF"/>
      <w:lang w:val="x-none" w:eastAsia="x-none"/>
    </w:rPr>
  </w:style>
  <w:style w:type="character" w:customStyle="1" w:styleId="Nagwek3Znak">
    <w:name w:val="Nagłówek 3 Znak"/>
    <w:aliases w:val="Title 3 Znak"/>
    <w:basedOn w:val="Domylnaczcionkaakapitu"/>
    <w:link w:val="Nagwek3"/>
    <w:semiHidden/>
    <w:rsid w:val="00A33DC5"/>
    <w:rPr>
      <w:rFonts w:ascii="Arial Narrow" w:eastAsia="Times New Roman" w:hAnsi="Arial Narrow" w:cs="Times New Roman"/>
      <w:sz w:val="24"/>
      <w:szCs w:val="20"/>
      <w:shd w:val="clear" w:color="auto" w:fill="D9D9D9"/>
      <w:lang w:val="x-none" w:eastAsia="x-none"/>
    </w:rPr>
  </w:style>
  <w:style w:type="character" w:customStyle="1" w:styleId="Nagwek8Znak">
    <w:name w:val="Nagłówek 8 Znak"/>
    <w:aliases w:val="Punktor Znak"/>
    <w:basedOn w:val="Domylnaczcionkaakapitu"/>
    <w:link w:val="Nagwek8"/>
    <w:uiPriority w:val="9"/>
    <w:semiHidden/>
    <w:rsid w:val="00A33DC5"/>
    <w:rPr>
      <w:rFonts w:ascii="Arial Narrow" w:eastAsia="Times New Roman" w:hAnsi="Arial Narrow" w:cs="Times New Roman"/>
      <w:sz w:val="20"/>
      <w:szCs w:val="20"/>
      <w:lang w:val="x-none" w:eastAsia="x-none"/>
    </w:rPr>
  </w:style>
  <w:style w:type="character" w:customStyle="1" w:styleId="BezodstpwZnak">
    <w:name w:val="Bez odstępów Znak"/>
    <w:aliases w:val="TABELKA Znak"/>
    <w:link w:val="Bezodstpw"/>
    <w:uiPriority w:val="1"/>
    <w:locked/>
    <w:rsid w:val="00A33DC5"/>
    <w:rPr>
      <w:rFonts w:ascii="Arial Narrow" w:hAnsi="Arial Narrow"/>
    </w:rPr>
  </w:style>
  <w:style w:type="paragraph" w:styleId="Bezodstpw">
    <w:name w:val="No Spacing"/>
    <w:aliases w:val="TABELKA"/>
    <w:link w:val="BezodstpwZnak"/>
    <w:uiPriority w:val="1"/>
    <w:qFormat/>
    <w:rsid w:val="00A33DC5"/>
    <w:pPr>
      <w:overflowPunct w:val="0"/>
      <w:autoSpaceDE w:val="0"/>
      <w:autoSpaceDN w:val="0"/>
      <w:adjustRightInd w:val="0"/>
      <w:spacing w:after="0" w:line="240" w:lineRule="auto"/>
    </w:pPr>
    <w:rPr>
      <w:rFonts w:ascii="Arial Narrow" w:hAnsi="Arial Narrow"/>
    </w:rPr>
  </w:style>
  <w:style w:type="paragraph" w:customStyle="1" w:styleId="NAZWASST">
    <w:name w:val="NAZWA SST"/>
    <w:uiPriority w:val="1"/>
    <w:qFormat/>
    <w:rsid w:val="00A33DC5"/>
    <w:pPr>
      <w:overflowPunct w:val="0"/>
      <w:autoSpaceDE w:val="0"/>
      <w:autoSpaceDN w:val="0"/>
      <w:adjustRightInd w:val="0"/>
      <w:spacing w:after="0" w:line="240" w:lineRule="auto"/>
    </w:pPr>
    <w:rPr>
      <w:rFonts w:ascii="Arial Narrow" w:eastAsia="Times New Roman" w:hAnsi="Arial Narrow" w:cs="Times New Roman"/>
      <w:b/>
      <w:sz w:val="28"/>
      <w:szCs w:val="20"/>
      <w:lang w:eastAsia="pl-PL"/>
    </w:rPr>
  </w:style>
  <w:style w:type="character" w:styleId="Hipercze">
    <w:name w:val="Hyperlink"/>
    <w:basedOn w:val="Domylnaczcionkaakapitu"/>
    <w:uiPriority w:val="99"/>
    <w:semiHidden/>
    <w:unhideWhenUsed/>
    <w:rsid w:val="00A33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edza.pkn.pl/web/guest/wyszukiwarka-norm?p_auth=l38WDZ8y&amp;p_p_id=searchstandards_WAR_p4scustomerpknzwnelsearchstandardsportlet&amp;p_p_lifecycle=1&amp;p_p_state=normal&amp;p_p_mode=view&amp;p_p_col_id=column-1&amp;p_p_col_count=1&amp;_searchstandards_WAR_p4scustomerpknzwnelsearchstandardsportlet_standardNumber=PN-S-02205%3A1998P&amp;_searchstandards_WAR_p4scustomerpknzwnelsearchstandardsportlet_javax.portlet.action=showStandardDetailsAction" TargetMode="External"/><Relationship Id="rId5" Type="http://schemas.openxmlformats.org/officeDocument/2006/relationships/hyperlink" Target="http://sklep.pkn.pl/pn-en-1097-5-2001p.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2023</Words>
  <Characters>12140</Characters>
  <Application>Microsoft Office Word</Application>
  <DocSecurity>0</DocSecurity>
  <Lines>101</Lines>
  <Paragraphs>28</Paragraphs>
  <ScaleCrop>false</ScaleCrop>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2021-02-11T12:02:00Z</dcterms:created>
  <dcterms:modified xsi:type="dcterms:W3CDTF">2021-10-26T09:18:00Z</dcterms:modified>
</cp:coreProperties>
</file>