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F" w:rsidRPr="003518BA" w:rsidRDefault="00726C4F" w:rsidP="00726C4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Załącznik nr 1.</w:t>
      </w:r>
      <w:r w:rsidR="00786530">
        <w:rPr>
          <w:rFonts w:asciiTheme="minorHAnsi" w:hAnsiTheme="minorHAnsi" w:cstheme="minorHAnsi"/>
          <w:b/>
        </w:rPr>
        <w:t>4</w:t>
      </w:r>
      <w:r w:rsidRPr="003518BA">
        <w:rPr>
          <w:rFonts w:asciiTheme="minorHAnsi" w:hAnsiTheme="minorHAnsi" w:cstheme="minorHAnsi"/>
          <w:b/>
        </w:rPr>
        <w:t xml:space="preserve"> do SWZ</w:t>
      </w:r>
    </w:p>
    <w:p w:rsidR="00726C4F" w:rsidRPr="003518BA" w:rsidRDefault="00726C4F" w:rsidP="00726C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Opis przedmiotu zamówienia - specyfikacja techniczna oferowanego sprzętu</w:t>
      </w:r>
    </w:p>
    <w:p w:rsidR="00726C4F" w:rsidRDefault="00726C4F" w:rsidP="00726C4F">
      <w:pPr>
        <w:spacing w:line="276" w:lineRule="auto"/>
        <w:rPr>
          <w:rFonts w:ascii="Georgia" w:hAnsi="Georgia"/>
          <w:kern w:val="0"/>
        </w:rPr>
      </w:pPr>
      <w:r w:rsidRPr="00B058C5">
        <w:rPr>
          <w:rFonts w:ascii="Calibri" w:hAnsi="Calibri" w:cs="Calibri"/>
        </w:rPr>
        <w:t xml:space="preserve">Dostawa </w:t>
      </w:r>
      <w:r w:rsidR="00786530">
        <w:rPr>
          <w:rFonts w:ascii="Calibri" w:hAnsi="Calibri" w:cs="Calibri"/>
        </w:rPr>
        <w:t>barwiarki liniowej</w:t>
      </w:r>
      <w:r w:rsidRPr="00B058C5">
        <w:rPr>
          <w:rFonts w:ascii="Calibri" w:hAnsi="Calibri" w:cs="Calibri"/>
        </w:rPr>
        <w:t xml:space="preserve"> na potrzeby Wydziału Medycznego KUL</w:t>
      </w:r>
    </w:p>
    <w:tbl>
      <w:tblPr>
        <w:tblW w:w="9135" w:type="dxa"/>
        <w:tblInd w:w="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178"/>
        <w:gridCol w:w="5244"/>
        <w:gridCol w:w="2713"/>
      </w:tblGrid>
      <w:tr w:rsidR="00CA4111" w:rsidRPr="00CA4111" w:rsidTr="00EB5BBA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A4111" w:rsidRPr="00CA4111" w:rsidRDefault="00CA4111" w:rsidP="00EB5BB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4111">
              <w:rPr>
                <w:rFonts w:asciiTheme="minorHAnsi" w:hAnsiTheme="minorHAnsi" w:cstheme="minorHAnsi"/>
                <w:b/>
                <w:bCs/>
              </w:rPr>
              <w:t>Barwiarka liniowa – 1 sztuka</w:t>
            </w:r>
          </w:p>
          <w:p w:rsidR="00CA4111" w:rsidRPr="00CA4111" w:rsidRDefault="00CA4111" w:rsidP="00EB5BB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111" w:rsidRPr="00CA4111" w:rsidTr="00CA4111"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  <w:b/>
                <w:bCs/>
              </w:rPr>
              <w:t>Nazwa oferowanego urządzenia</w:t>
            </w:r>
          </w:p>
          <w:p w:rsidR="00CA4111" w:rsidRPr="00CA4111" w:rsidRDefault="00CA4111" w:rsidP="00EB5B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CA4111">
        <w:tc>
          <w:tcPr>
            <w:tcW w:w="6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  <w:b/>
                <w:bCs/>
              </w:rPr>
              <w:t>Producent</w:t>
            </w:r>
          </w:p>
          <w:p w:rsidR="00CA4111" w:rsidRPr="00CA4111" w:rsidRDefault="00CA4111" w:rsidP="00EB5B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CA4111">
        <w:tc>
          <w:tcPr>
            <w:tcW w:w="6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  <w:b/>
                <w:bCs/>
              </w:rPr>
              <w:t>Typ/model/kod producenta</w:t>
            </w:r>
          </w:p>
          <w:p w:rsidR="00CA4111" w:rsidRPr="00CA4111" w:rsidRDefault="00CA4111" w:rsidP="00EB5B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ormalnyWeb"/>
              <w:spacing w:before="0"/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CA4111" w:rsidRPr="00CA4111" w:rsidTr="00EB5BBA"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Pojemność koszyczka na szkiełka: minimum 30 szkiełek mikroskopowych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3"/>
              <w:widowControl w:val="0"/>
              <w:ind w:right="-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41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Maksymalna liczba koszyków obsługiwanych jednocześnie -10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4111">
              <w:rPr>
                <w:rFonts w:asciiTheme="minorHAnsi" w:hAnsiTheme="minorHAnsi" w:cstheme="minorHAnsi"/>
                <w:sz w:val="22"/>
                <w:szCs w:val="22"/>
              </w:rPr>
              <w:t xml:space="preserve">Możliwość barwienia różnymi protokołami w tym samym czasie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4111">
              <w:rPr>
                <w:rFonts w:asciiTheme="minorHAnsi" w:hAnsiTheme="minorHAnsi" w:cstheme="minorHAnsi"/>
                <w:sz w:val="22"/>
                <w:szCs w:val="22"/>
              </w:rPr>
              <w:t>Możliwość zdefiniowania programu domyślnego uruchamianego automatycznie po włożeniu koszyka do stacji załadowczej po zadanym czasie w przypadku braku wyboru innego programu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4111">
              <w:rPr>
                <w:rFonts w:asciiTheme="minorHAnsi" w:hAnsiTheme="minorHAnsi" w:cstheme="minorHAnsi"/>
                <w:sz w:val="22"/>
                <w:szCs w:val="22"/>
              </w:rPr>
              <w:t xml:space="preserve">Całkowita liczba stacji: minimum 20 </w:t>
            </w:r>
            <w:r w:rsidRPr="00CA4111">
              <w:rPr>
                <w:rFonts w:asciiTheme="minorHAnsi" w:hAnsiTheme="minorHAnsi" w:cstheme="minorHAnsi"/>
                <w:sz w:val="22"/>
                <w:szCs w:val="22"/>
              </w:rPr>
              <w:br/>
              <w:t>(w tym 1 stacja grzewcza i 4 stacje płuczące)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4111">
              <w:rPr>
                <w:rFonts w:asciiTheme="minorHAnsi" w:hAnsiTheme="minorHAnsi" w:cstheme="minorHAnsi"/>
                <w:sz w:val="22"/>
                <w:szCs w:val="22"/>
              </w:rPr>
              <w:t>Możliwość ustanowienia stacji płuczących dowolnie w zakresie od 0 do 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5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4111">
              <w:rPr>
                <w:rFonts w:asciiTheme="minorHAnsi" w:hAnsiTheme="minorHAnsi" w:cstheme="minorHAnsi"/>
                <w:sz w:val="22"/>
                <w:szCs w:val="22"/>
              </w:rPr>
              <w:t xml:space="preserve">Liczba stacji załadowczo-wyładowczych minimum 4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Możliwość zmiany z poziomu menu stacji załadowczej na wyładowczą.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 xml:space="preserve">Możliwość załadunku i wyładunku koszyków bez konieczności otwierania pokrywy ochronnej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 xml:space="preserve">Wszystkie stacje umieszczone na jednym poziomie w celu ułatwienia obsługi urządzenia (barwiarka liniowa)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Pojemność zbiornika na odczynniki: minimum 300 ml ± 20 ml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Pojemność pamięci urządzenia minimum 20 programów (każdy program może mieć minimum 40 kroków 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  <w:lang w:val="en-US"/>
              </w:rPr>
            </w:pPr>
            <w:r w:rsidRPr="00CA4111">
              <w:rPr>
                <w:rFonts w:asciiTheme="minorHAnsi" w:hAnsiTheme="minorHAnsi" w:cstheme="minorHAnsi"/>
              </w:rPr>
              <w:t>Regulacja temperatury stacji grzewczej: od temp. pokojowej do 75 °C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 xml:space="preserve">Dotykowy ekran LCD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System automatycznego, stopniowego wydłużania czasu barwienia wraz ze zużyciem barwnika z możliwością jego włączenia/wyłączenia w zależności od potrzeby w dwóch trybach:</w:t>
            </w:r>
          </w:p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- dobowy – wydłużanie czasu barwienia co zadaną liczbę dni</w:t>
            </w:r>
          </w:p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- wydajnościowy – wydłużanie czasu barwienia co konkretną zadaną ilość przeprowadzonych koszyków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 xml:space="preserve">Pomiar stopnia aktualnego zanieczyszczenie oparów podawany w jednostkach ppm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Zabezpieczenie programowe blokujące uruchomienie programu przy niepasującym do programu układzie kuwet z odczynnikami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System informujący o konieczności wymiany odczynników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Możliwość dodawania programów i korygowania czasów kroków z poziomu menu dostępnego dla użytkownika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Możliwość przerywania i anulowania uruchomionych procesów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Automatyczne wykrywanie obecności koszyka w stacji załadowczej/wyładowczej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 xml:space="preserve">System automatycznej optymalizacji czasu uruchomienia kolejnego zleconego programu barwienia dla zapewnienia ciągłości pracy.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Możliwość eksportu danych statystycznych z barwiarki poprzez złącze USB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Możliwość zdalnego sprawdzenia statusu urządzenia poprzez opcjonalną aplikację dla urządzeń mobilnych.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 xml:space="preserve">Możliwość włączenia funkcji ociekania w celu zapobiegania mieszania się odczynników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rPr>
          <w:trHeight w:val="35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 xml:space="preserve">Możliwość ustawienia zwiększonej szybkości ruchu pionowego ramienia podnoszącego koszyk w celu zwiększenia szybkości i wydajności urządzenia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4111">
              <w:rPr>
                <w:rFonts w:asciiTheme="minorHAnsi" w:hAnsiTheme="minorHAnsi" w:cstheme="minorHAnsi"/>
                <w:sz w:val="22"/>
                <w:szCs w:val="22"/>
              </w:rPr>
              <w:t>Alarmy: akustyczne oraz świetlne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Możliwość regulacji czasu inkubacji w każdej kuwecie w zakresie: od min. 1 sekundy do 59 min 59s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Urządzenie wyposażone w filtr z aktywnym węglem z możliwością podłączenia do zewnętrznego systemu wentylacji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Inteligentny system odprowadzania oparów : wentylator włącza się automatycznie, gdy stężenie zanieczyszczeń w komorze będzie wyższe niż 40 ppm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  <w:r w:rsidRPr="00CA4111">
              <w:rPr>
                <w:rFonts w:asciiTheme="minorHAnsi" w:hAnsiTheme="minorHAnsi" w:cstheme="minorHAnsi"/>
              </w:rPr>
              <w:t>Automatycznie zwiększona moc wentylatora powietrza przy otwartej pokrywie w stosunku do pokrywy zamkniętej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rPr>
                <w:rFonts w:asciiTheme="minorHAnsi" w:hAnsiTheme="minorHAnsi" w:cstheme="minorHAnsi"/>
                <w:color w:val="000000"/>
              </w:rPr>
            </w:pPr>
            <w:r w:rsidRPr="00CA4111">
              <w:rPr>
                <w:rFonts w:asciiTheme="minorHAnsi" w:hAnsiTheme="minorHAnsi" w:cstheme="minorHAnsi"/>
              </w:rPr>
              <w:t>Możliwość dodawania użytkowników do urządzenia  i zabezpieczenia kont hasłem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pStyle w:val="Nagwek3"/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4111">
              <w:rPr>
                <w:rFonts w:asciiTheme="minorHAnsi" w:hAnsiTheme="minorHAnsi" w:cstheme="minorHAnsi"/>
                <w:sz w:val="22"/>
                <w:szCs w:val="22"/>
              </w:rPr>
              <w:t>Możliwość podłączenia do sytemu podtrzymywania napięcia UPS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4111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DB2088" w:rsidRDefault="00CA4111" w:rsidP="00EB5BBA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88">
              <w:rPr>
                <w:rFonts w:asciiTheme="minorHAnsi" w:hAnsiTheme="minorHAnsi" w:cstheme="minorHAnsi"/>
                <w:sz w:val="22"/>
                <w:szCs w:val="22"/>
              </w:rPr>
              <w:t>Deklaracja zgodności CE/IVD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A4111" w:rsidRPr="00CA4111" w:rsidRDefault="00CA4111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7348" w:rsidRPr="00CA4111" w:rsidTr="00EB5BB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67348" w:rsidRPr="00CA4111" w:rsidRDefault="00867348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67348" w:rsidRPr="00DB2088" w:rsidRDefault="00867348" w:rsidP="00EB5BBA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88">
              <w:rPr>
                <w:rFonts w:asciiTheme="minorHAnsi" w:hAnsiTheme="minorHAnsi" w:cstheme="minorHAnsi"/>
                <w:sz w:val="22"/>
                <w:szCs w:val="22"/>
              </w:rPr>
              <w:t>Instrukcja obsługi w języku polskim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67348" w:rsidRPr="00CA4111" w:rsidRDefault="00867348" w:rsidP="00EB5B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43EB" w:rsidRPr="00CA4111" w:rsidTr="009F7560"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943EB" w:rsidRPr="00CA4111" w:rsidRDefault="001943EB" w:rsidP="00CA411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943EB" w:rsidRPr="00CA4111" w:rsidRDefault="001943EB" w:rsidP="00EB5BBA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4111">
              <w:rPr>
                <w:rFonts w:asciiTheme="minorHAnsi" w:hAnsiTheme="minorHAnsi" w:cstheme="minorHAnsi"/>
                <w:sz w:val="22"/>
                <w:szCs w:val="22"/>
              </w:rPr>
              <w:t>Gwarancja min. 24 miesiące dla całego urządzenia</w:t>
            </w:r>
          </w:p>
        </w:tc>
      </w:tr>
    </w:tbl>
    <w:p w:rsidR="00726C4F" w:rsidRDefault="00726C4F" w:rsidP="00726C4F">
      <w:pPr>
        <w:rPr>
          <w:rFonts w:ascii="Calibri" w:hAnsi="Calibri" w:cs="Calibri"/>
        </w:rPr>
      </w:pPr>
    </w:p>
    <w:p w:rsidR="00726C4F" w:rsidRDefault="00726C4F" w:rsidP="00726C4F">
      <w:pPr>
        <w:rPr>
          <w:rFonts w:ascii="Calibri" w:hAnsi="Calibri" w:cs="Calibri"/>
        </w:rPr>
      </w:pPr>
    </w:p>
    <w:p w:rsidR="00726C4F" w:rsidRDefault="00726C4F" w:rsidP="00726C4F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pn: Parametry oferowane muszą pozwolić Zamawiającemu na jednoznaczną identyfikację oferowanego produktu. </w:t>
      </w:r>
    </w:p>
    <w:p w:rsidR="00726C4F" w:rsidRDefault="00726C4F" w:rsidP="00726C4F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:rsidR="00726C4F" w:rsidRPr="00F230CD" w:rsidRDefault="00726C4F" w:rsidP="00726C4F">
      <w:pPr>
        <w:pStyle w:val="Akapitzlist"/>
        <w:tabs>
          <w:tab w:val="left" w:pos="426"/>
        </w:tabs>
        <w:rPr>
          <w:rFonts w:asciiTheme="minorHAnsi" w:hAnsiTheme="minorHAnsi" w:cstheme="minorHAnsi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p w:rsidR="00726C4F" w:rsidRDefault="00726C4F" w:rsidP="00726C4F">
      <w:pPr>
        <w:rPr>
          <w:rFonts w:cs="Times New Roman"/>
        </w:rPr>
      </w:pPr>
    </w:p>
    <w:p w:rsidR="00310108" w:rsidRDefault="00310108"/>
    <w:sectPr w:rsidR="00310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66" w:rsidRDefault="006E7566" w:rsidP="006E7566">
      <w:r>
        <w:separator/>
      </w:r>
    </w:p>
  </w:endnote>
  <w:endnote w:type="continuationSeparator" w:id="0">
    <w:p w:rsidR="006E7566" w:rsidRDefault="006E7566" w:rsidP="006E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1067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6E7566" w:rsidRPr="006E7566" w:rsidRDefault="006E7566">
        <w:pPr>
          <w:pStyle w:val="Stopka"/>
          <w:jc w:val="right"/>
          <w:rPr>
            <w:rFonts w:asciiTheme="minorHAnsi" w:hAnsiTheme="minorHAnsi" w:cstheme="minorHAnsi"/>
          </w:rPr>
        </w:pPr>
        <w:r w:rsidRPr="006E7566">
          <w:rPr>
            <w:rFonts w:asciiTheme="minorHAnsi" w:hAnsiTheme="minorHAnsi" w:cstheme="minorHAnsi"/>
          </w:rPr>
          <w:fldChar w:fldCharType="begin"/>
        </w:r>
        <w:r w:rsidRPr="006E7566">
          <w:rPr>
            <w:rFonts w:asciiTheme="minorHAnsi" w:hAnsiTheme="minorHAnsi" w:cstheme="minorHAnsi"/>
          </w:rPr>
          <w:instrText>PAGE   \* MERGEFORMAT</w:instrText>
        </w:r>
        <w:r w:rsidRPr="006E7566">
          <w:rPr>
            <w:rFonts w:asciiTheme="minorHAnsi" w:hAnsiTheme="minorHAnsi" w:cstheme="minorHAnsi"/>
          </w:rPr>
          <w:fldChar w:fldCharType="separate"/>
        </w:r>
        <w:r w:rsidR="00DB2088">
          <w:rPr>
            <w:rFonts w:asciiTheme="minorHAnsi" w:hAnsiTheme="minorHAnsi" w:cstheme="minorHAnsi"/>
            <w:noProof/>
          </w:rPr>
          <w:t>2</w:t>
        </w:r>
        <w:r w:rsidRPr="006E7566">
          <w:rPr>
            <w:rFonts w:asciiTheme="minorHAnsi" w:hAnsiTheme="minorHAnsi" w:cstheme="minorHAnsi"/>
          </w:rPr>
          <w:fldChar w:fldCharType="end"/>
        </w:r>
      </w:p>
    </w:sdtContent>
  </w:sdt>
  <w:p w:rsidR="006E7566" w:rsidRDefault="006E75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66" w:rsidRDefault="006E7566" w:rsidP="006E7566">
      <w:r>
        <w:separator/>
      </w:r>
    </w:p>
  </w:footnote>
  <w:footnote w:type="continuationSeparator" w:id="0">
    <w:p w:rsidR="006E7566" w:rsidRDefault="006E7566" w:rsidP="006E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A41"/>
    <w:multiLevelType w:val="multilevel"/>
    <w:tmpl w:val="2FD21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7DA00B0"/>
    <w:multiLevelType w:val="multilevel"/>
    <w:tmpl w:val="C1544D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4F"/>
    <w:rsid w:val="001943EB"/>
    <w:rsid w:val="00310108"/>
    <w:rsid w:val="0054444D"/>
    <w:rsid w:val="00682F3A"/>
    <w:rsid w:val="00684CDD"/>
    <w:rsid w:val="006E7566"/>
    <w:rsid w:val="00704F36"/>
    <w:rsid w:val="00726C4F"/>
    <w:rsid w:val="00786530"/>
    <w:rsid w:val="00867348"/>
    <w:rsid w:val="00963C99"/>
    <w:rsid w:val="00B071B5"/>
    <w:rsid w:val="00BE7BC1"/>
    <w:rsid w:val="00C35E11"/>
    <w:rsid w:val="00CA4111"/>
    <w:rsid w:val="00D46131"/>
    <w:rsid w:val="00DB2088"/>
    <w:rsid w:val="00E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C4F"/>
    <w:pPr>
      <w:widowControl w:val="0"/>
      <w:suppressAutoHyphens/>
      <w:spacing w:after="0" w:line="240" w:lineRule="auto"/>
    </w:pPr>
    <w:rPr>
      <w:rFonts w:ascii="Times New Roman" w:eastAsiaTheme="minorEastAsia" w:hAnsi="Times New Roman"/>
      <w:kern w:val="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A411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A411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411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726C4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726C4F"/>
    <w:pPr>
      <w:ind w:left="720"/>
    </w:pPr>
  </w:style>
  <w:style w:type="character" w:styleId="Odwoaniedokomentarza">
    <w:name w:val="annotation reference"/>
    <w:basedOn w:val="Domylnaczcionkaakapitu"/>
    <w:unhideWhenUsed/>
    <w:qFormat/>
    <w:rsid w:val="0072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C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C4F"/>
    <w:rPr>
      <w:rFonts w:ascii="Times New Roman" w:eastAsiaTheme="minorEastAsia" w:hAnsi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C4F"/>
    <w:rPr>
      <w:rFonts w:ascii="Tahoma" w:eastAsiaTheme="minorEastAsia" w:hAnsi="Tahoma" w:cs="Tahoma"/>
      <w:kern w:val="2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CDD"/>
    <w:rPr>
      <w:rFonts w:ascii="Times New Roman" w:eastAsiaTheme="minorEastAsia" w:hAnsi="Times New Roman"/>
      <w:b/>
      <w:bCs/>
      <w:kern w:val="2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E7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566"/>
    <w:rPr>
      <w:rFonts w:ascii="Times New Roman" w:eastAsiaTheme="minorEastAsia" w:hAnsi="Times New Roman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566"/>
    <w:rPr>
      <w:rFonts w:ascii="Times New Roman" w:eastAsiaTheme="minorEastAsia" w:hAnsi="Times New Roman"/>
      <w:kern w:val="2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CA41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CA41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CA41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C4F"/>
    <w:pPr>
      <w:widowControl w:val="0"/>
      <w:suppressAutoHyphens/>
      <w:spacing w:after="0" w:line="240" w:lineRule="auto"/>
    </w:pPr>
    <w:rPr>
      <w:rFonts w:ascii="Times New Roman" w:eastAsiaTheme="minorEastAsia" w:hAnsi="Times New Roman"/>
      <w:kern w:val="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A411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A411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411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726C4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726C4F"/>
    <w:pPr>
      <w:ind w:left="720"/>
    </w:pPr>
  </w:style>
  <w:style w:type="character" w:styleId="Odwoaniedokomentarza">
    <w:name w:val="annotation reference"/>
    <w:basedOn w:val="Domylnaczcionkaakapitu"/>
    <w:unhideWhenUsed/>
    <w:qFormat/>
    <w:rsid w:val="0072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C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C4F"/>
    <w:rPr>
      <w:rFonts w:ascii="Times New Roman" w:eastAsiaTheme="minorEastAsia" w:hAnsi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C4F"/>
    <w:rPr>
      <w:rFonts w:ascii="Tahoma" w:eastAsiaTheme="minorEastAsia" w:hAnsi="Tahoma" w:cs="Tahoma"/>
      <w:kern w:val="2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CDD"/>
    <w:rPr>
      <w:rFonts w:ascii="Times New Roman" w:eastAsiaTheme="minorEastAsia" w:hAnsi="Times New Roman"/>
      <w:b/>
      <w:bCs/>
      <w:kern w:val="2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E7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566"/>
    <w:rPr>
      <w:rFonts w:ascii="Times New Roman" w:eastAsiaTheme="minorEastAsia" w:hAnsi="Times New Roman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566"/>
    <w:rPr>
      <w:rFonts w:ascii="Times New Roman" w:eastAsiaTheme="minorEastAsia" w:hAnsi="Times New Roman"/>
      <w:kern w:val="2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CA41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CA41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CA41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10</cp:revision>
  <dcterms:created xsi:type="dcterms:W3CDTF">2023-07-10T09:02:00Z</dcterms:created>
  <dcterms:modified xsi:type="dcterms:W3CDTF">2023-07-12T08:18:00Z</dcterms:modified>
</cp:coreProperties>
</file>