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A" w:rsidRDefault="00AF7416">
      <w:pPr>
        <w:pStyle w:val="Bezodstpw"/>
        <w:spacing w:line="276" w:lineRule="auto"/>
        <w:jc w:val="both"/>
        <w:rPr>
          <w:rFonts w:ascii="Arial Narrow" w:eastAsia="Microsoft JhengHei UI" w:hAnsi="Arial Narrow" w:cs="Microsoft Sans Serif"/>
          <w:b/>
          <w:bCs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ZO 05/23         </w:t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eastAsia="Microsoft JhengHei UI" w:hAnsi="Arial Narrow" w:cs="Microsoft Sans Serif"/>
          <w:b/>
          <w:bCs/>
        </w:rPr>
        <w:tab/>
      </w: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ZO </w:t>
      </w:r>
    </w:p>
    <w:p w:rsidR="0011129A" w:rsidRDefault="0011129A">
      <w:pPr>
        <w:pStyle w:val="Default"/>
        <w:rPr>
          <w:rFonts w:ascii="Arial Narrow" w:eastAsiaTheme="minorHAnsi" w:hAnsi="Arial Narrow" w:cs="Arial"/>
          <w:sz w:val="22"/>
          <w:szCs w:val="22"/>
        </w:rPr>
      </w:pPr>
    </w:p>
    <w:p w:rsidR="0011129A" w:rsidRDefault="0011129A">
      <w:pPr>
        <w:suppressAutoHyphens w:val="0"/>
        <w:spacing w:after="0" w:line="240" w:lineRule="auto"/>
        <w:rPr>
          <w:rFonts w:ascii="Arial Narrow" w:hAnsi="Arial Narrow" w:cs="Arial"/>
          <w:lang w:eastAsia="pl-PL"/>
        </w:rPr>
      </w:pPr>
    </w:p>
    <w:p w:rsidR="0011129A" w:rsidRDefault="00AF7416">
      <w:pPr>
        <w:suppressAutoHyphens w:val="0"/>
        <w:spacing w:after="0" w:line="240" w:lineRule="auto"/>
        <w:jc w:val="center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/>
          <w:bCs/>
          <w:lang w:eastAsia="pl-PL"/>
        </w:rPr>
        <w:t>OPIS PRZEDMIOTU ZAMÓWIENIA</w:t>
      </w:r>
    </w:p>
    <w:p w:rsidR="0011129A" w:rsidRDefault="00AF7416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lang w:eastAsia="pl-PL"/>
        </w:rPr>
      </w:pPr>
      <w:r>
        <w:rPr>
          <w:rFonts w:ascii="Arial Narrow" w:hAnsi="Arial Narrow" w:cs="Arial"/>
          <w:b/>
          <w:bCs/>
          <w:lang w:eastAsia="pl-PL"/>
        </w:rPr>
        <w:t xml:space="preserve">Dotyczy: usługi odbioru, przewozu, przechowywania i wydania zwłok pacjentów zmarłych </w:t>
      </w:r>
    </w:p>
    <w:p w:rsidR="0011129A" w:rsidRDefault="00AF7416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lang w:eastAsia="pl-PL"/>
        </w:rPr>
      </w:pPr>
      <w:r>
        <w:rPr>
          <w:rFonts w:ascii="Arial Narrow" w:hAnsi="Arial Narrow" w:cs="Arial"/>
          <w:b/>
          <w:bCs/>
          <w:lang w:eastAsia="pl-PL"/>
        </w:rPr>
        <w:t>oraz przewozu zwłok na sekcje.</w:t>
      </w:r>
    </w:p>
    <w:p w:rsidR="0011129A" w:rsidRDefault="0011129A">
      <w:pPr>
        <w:suppressAutoHyphens w:val="0"/>
        <w:spacing w:after="0" w:line="240" w:lineRule="auto"/>
        <w:jc w:val="center"/>
        <w:rPr>
          <w:rFonts w:ascii="Arial Narrow" w:hAnsi="Arial Narrow" w:cs="Arial"/>
          <w:lang w:eastAsia="pl-PL"/>
        </w:rPr>
      </w:pP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Przedmiotem zamówienia jest </w:t>
      </w:r>
      <w:r>
        <w:rPr>
          <w:rFonts w:ascii="Arial Narrow" w:hAnsi="Arial Narrow" w:cs="Arial"/>
          <w:b/>
          <w:bCs/>
          <w:lang w:eastAsia="pl-PL"/>
        </w:rPr>
        <w:t>usługa odbioru, przewozu, przechowywania i wydania zwłok pacjentów zmarłych w Szpitalu Ogólnym im. dr Witolda Ginela w Grajewie oraz przewóz zwłok na sekcje prz</w:t>
      </w:r>
      <w:r>
        <w:rPr>
          <w:rFonts w:ascii="Arial Narrow" w:hAnsi="Arial Narrow" w:cs="Arial"/>
          <w:b/>
          <w:bCs/>
          <w:lang w:eastAsia="pl-PL"/>
        </w:rPr>
        <w:t>e</w:t>
      </w:r>
      <w:r>
        <w:rPr>
          <w:rFonts w:ascii="Arial Narrow" w:hAnsi="Arial Narrow" w:cs="Arial"/>
          <w:b/>
          <w:bCs/>
          <w:lang w:eastAsia="pl-PL"/>
        </w:rPr>
        <w:t xml:space="preserve">prowadzane w Białymstoku.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zobowiązuje się do wykonywania przedmiotu zamówienia z zachowaniem wszystkich obowi</w:t>
      </w:r>
      <w:r>
        <w:rPr>
          <w:rFonts w:ascii="Arial Narrow" w:hAnsi="Arial Narrow" w:cs="Arial"/>
          <w:lang w:eastAsia="pl-PL"/>
        </w:rPr>
        <w:t>ą</w:t>
      </w:r>
      <w:r>
        <w:rPr>
          <w:rFonts w:ascii="Arial Narrow" w:hAnsi="Arial Narrow" w:cs="Arial"/>
          <w:lang w:eastAsia="pl-PL"/>
        </w:rPr>
        <w:t>zujących w tym zakresie wymogów i standardów zgodnie z obowiązującymi przepisami prawa, osobami p</w:t>
      </w:r>
      <w:r>
        <w:rPr>
          <w:rFonts w:ascii="Arial Narrow" w:hAnsi="Arial Narrow" w:cs="Arial"/>
          <w:lang w:eastAsia="pl-PL"/>
        </w:rPr>
        <w:t>o</w:t>
      </w:r>
      <w:r>
        <w:rPr>
          <w:rFonts w:ascii="Arial Narrow" w:hAnsi="Arial Narrow" w:cs="Arial"/>
          <w:lang w:eastAsia="pl-PL"/>
        </w:rPr>
        <w:t>siadającymi stosowne uprawnienia i kwalifikacje do wykonywania czynności związanych z przedmiotem zamówienia.</w:t>
      </w:r>
    </w:p>
    <w:p w:rsidR="00223D14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Odbiór zwłok z oddziałów Szpitala</w:t>
      </w:r>
      <w:r w:rsidR="00223D14">
        <w:rPr>
          <w:rFonts w:ascii="Arial Narrow" w:hAnsi="Arial Narrow" w:cs="Arial"/>
          <w:lang w:eastAsia="pl-PL"/>
        </w:rPr>
        <w:t xml:space="preserve"> nastąpi</w:t>
      </w:r>
      <w:r>
        <w:rPr>
          <w:rFonts w:ascii="Arial Narrow" w:hAnsi="Arial Narrow" w:cs="Arial"/>
          <w:lang w:eastAsia="pl-PL"/>
        </w:rPr>
        <w:t xml:space="preserve"> po upływie 2 godzin od czasu zgonu wskazanego przez Zam</w:t>
      </w:r>
      <w:r>
        <w:rPr>
          <w:rFonts w:ascii="Arial Narrow" w:hAnsi="Arial Narrow" w:cs="Arial"/>
          <w:lang w:eastAsia="pl-PL"/>
        </w:rPr>
        <w:t>a</w:t>
      </w:r>
      <w:r>
        <w:rPr>
          <w:rFonts w:ascii="Arial Narrow" w:hAnsi="Arial Narrow" w:cs="Arial"/>
          <w:lang w:eastAsia="pl-PL"/>
        </w:rPr>
        <w:t>wiającego w zgłoszeniu telefonicznym</w:t>
      </w:r>
      <w:r w:rsidR="00223D14">
        <w:rPr>
          <w:rFonts w:ascii="Arial Narrow" w:hAnsi="Arial Narrow" w:cs="Arial"/>
          <w:lang w:eastAsia="pl-PL"/>
        </w:rPr>
        <w:t>. Odbiór musi nastąpić w przedziale czasowym od 2 do 4 godzin od otrzymania zgłoszenia (nie później niż 4 godziny od zgłoszenia przez Zamawiającego zapotrzebowania na odbiór zwłok). Również w dni wolne od pracy oraz dni świąteczne.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przewiezie zwłoki, zgodnie z ustawą z dnia 31.01.1959 o cmentarzach i chowaniu zmarłych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2020 r. poz. 1947, z 2022 r. poz. 2705</w:t>
      </w:r>
      <w:r>
        <w:rPr>
          <w:rFonts w:ascii="Arial Narrow" w:hAnsi="Arial Narrow" w:cs="Arial"/>
          <w:lang w:eastAsia="pl-PL"/>
        </w:rPr>
        <w:t>) do najbliższej względem Zamawiającego chłodni Wyk</w:t>
      </w:r>
      <w:r>
        <w:rPr>
          <w:rFonts w:ascii="Arial Narrow" w:hAnsi="Arial Narrow" w:cs="Arial"/>
          <w:lang w:eastAsia="pl-PL"/>
        </w:rPr>
        <w:t>o</w:t>
      </w:r>
      <w:r>
        <w:rPr>
          <w:rFonts w:ascii="Arial Narrow" w:hAnsi="Arial Narrow" w:cs="Arial"/>
          <w:lang w:eastAsia="pl-PL"/>
        </w:rPr>
        <w:t>nawcy</w:t>
      </w:r>
      <w:r w:rsidR="00223D14">
        <w:rPr>
          <w:rFonts w:ascii="Arial Narrow" w:hAnsi="Arial Narrow" w:cs="Arial"/>
          <w:lang w:eastAsia="pl-PL"/>
        </w:rPr>
        <w:t>, wskazanej w Ofercie</w:t>
      </w:r>
      <w:r>
        <w:rPr>
          <w:rFonts w:ascii="Arial Narrow" w:hAnsi="Arial Narrow" w:cs="Arial"/>
          <w:lang w:eastAsia="pl-PL"/>
        </w:rPr>
        <w:t xml:space="preserve">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Przewóz zwłok na noszach przeznaczonych do transportu zwłok. Wykonawca musi zapewnić na swój koszt i we własnym zakresie wózek oraz worki przystosowane do przewożenia zwłok. Oddział przekazuje wraz ze zwłokami skierowanie do chłodni.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Zwłoki będą przewożone</w:t>
      </w:r>
      <w:r w:rsidR="00223D14">
        <w:rPr>
          <w:rFonts w:ascii="Arial Narrow" w:hAnsi="Arial Narrow" w:cs="Arial"/>
          <w:lang w:eastAsia="pl-PL"/>
        </w:rPr>
        <w:t xml:space="preserve"> własnym</w:t>
      </w:r>
      <w:r>
        <w:rPr>
          <w:rFonts w:ascii="Arial Narrow" w:hAnsi="Arial Narrow" w:cs="Arial"/>
          <w:lang w:eastAsia="pl-PL"/>
        </w:rPr>
        <w:t xml:space="preserve"> transportem Wykonawcy</w:t>
      </w:r>
      <w:r w:rsidR="00223D14">
        <w:rPr>
          <w:rFonts w:ascii="Arial Narrow" w:hAnsi="Arial Narrow" w:cs="Arial"/>
          <w:lang w:eastAsia="pl-PL"/>
        </w:rPr>
        <w:t xml:space="preserve"> i własnymi siłami Wykonawcy (pracownikami Wykonawcy)</w:t>
      </w:r>
      <w:r>
        <w:rPr>
          <w:rFonts w:ascii="Arial Narrow" w:hAnsi="Arial Narrow" w:cs="Arial"/>
          <w:lang w:eastAsia="pl-PL"/>
        </w:rPr>
        <w:t xml:space="preserve"> wyznaczonymi ciągami komunikacyjnymi na terenie Szpitala do chłodni Wykonawcy.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/>
          <w:bCs/>
          <w:lang w:eastAsia="pl-PL"/>
        </w:rPr>
        <w:t>Zwłoki zmarłych pacjentów będą przechowywane</w:t>
      </w:r>
      <w:r w:rsidR="00223D14">
        <w:rPr>
          <w:rFonts w:ascii="Arial Narrow" w:hAnsi="Arial Narrow" w:cs="Arial"/>
          <w:b/>
          <w:bCs/>
          <w:lang w:eastAsia="pl-PL"/>
        </w:rPr>
        <w:t xml:space="preserve"> przez Wykonawcę w chłodni</w:t>
      </w:r>
      <w:r>
        <w:rPr>
          <w:rFonts w:ascii="Arial Narrow" w:hAnsi="Arial Narrow" w:cs="Arial"/>
          <w:b/>
          <w:bCs/>
          <w:lang w:eastAsia="pl-PL"/>
        </w:rPr>
        <w:t xml:space="preserve"> nie dłużej niż 72 g</w:t>
      </w:r>
      <w:r>
        <w:rPr>
          <w:rFonts w:ascii="Arial Narrow" w:hAnsi="Arial Narrow" w:cs="Arial"/>
          <w:b/>
          <w:bCs/>
          <w:lang w:eastAsia="pl-PL"/>
        </w:rPr>
        <w:t>o</w:t>
      </w:r>
      <w:r>
        <w:rPr>
          <w:rFonts w:ascii="Arial Narrow" w:hAnsi="Arial Narrow" w:cs="Arial"/>
          <w:b/>
          <w:bCs/>
          <w:lang w:eastAsia="pl-PL"/>
        </w:rPr>
        <w:t xml:space="preserve">dzin chyba że: </w:t>
      </w:r>
    </w:p>
    <w:p w:rsidR="0011129A" w:rsidRDefault="00AF7416">
      <w:pPr>
        <w:suppressAutoHyphens w:val="0"/>
        <w:spacing w:after="0" w:line="240" w:lineRule="auto"/>
        <w:ind w:left="567" w:hanging="141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a) zwłoki nie mogą być wcześniej odebrane przez osoby uprawnione do pochowania osoby zmarłej, o kt</w:t>
      </w:r>
      <w:r>
        <w:rPr>
          <w:rFonts w:ascii="Arial Narrow" w:hAnsi="Arial Narrow" w:cs="Arial"/>
          <w:lang w:eastAsia="pl-PL"/>
        </w:rPr>
        <w:t>ó</w:t>
      </w:r>
      <w:r>
        <w:rPr>
          <w:rFonts w:ascii="Arial Narrow" w:hAnsi="Arial Narrow" w:cs="Arial"/>
          <w:lang w:eastAsia="pl-PL"/>
        </w:rPr>
        <w:t xml:space="preserve">rych mowa w art.10 ustawy z dnia 31 stycznia 1959r. o cmentarzach i chowaniu zmarłych </w:t>
      </w:r>
    </w:p>
    <w:p w:rsidR="0011129A" w:rsidRDefault="00AF7416">
      <w:pPr>
        <w:suppressAutoHyphens w:val="0"/>
        <w:spacing w:after="0" w:line="240" w:lineRule="auto"/>
        <w:ind w:left="567" w:hanging="141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b) w związku ze zgonem zostało wszczęte dochodzenie lub śledztwo, a prokurator nie zezwolił na poch</w:t>
      </w:r>
      <w:r>
        <w:rPr>
          <w:rFonts w:ascii="Arial Narrow" w:hAnsi="Arial Narrow" w:cs="Arial"/>
          <w:lang w:eastAsia="pl-PL"/>
        </w:rPr>
        <w:t>o</w:t>
      </w:r>
      <w:r>
        <w:rPr>
          <w:rFonts w:ascii="Arial Narrow" w:hAnsi="Arial Narrow" w:cs="Arial"/>
          <w:lang w:eastAsia="pl-PL"/>
        </w:rPr>
        <w:t xml:space="preserve">wanie zwłok. </w:t>
      </w:r>
    </w:p>
    <w:p w:rsidR="0011129A" w:rsidRDefault="00AF7416">
      <w:pPr>
        <w:suppressAutoHyphens w:val="0"/>
        <w:spacing w:after="0" w:line="240" w:lineRule="auto"/>
        <w:ind w:left="567" w:hanging="141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c) przemawiają za tym inne, niż wymienione powyżej ważne przyczyny, za zgodą lub na wniosek osoby uprawnionej do pochowania osoby zmarłej.</w:t>
      </w:r>
    </w:p>
    <w:p w:rsidR="0011129A" w:rsidRPr="00CE6B39" w:rsidRDefault="00AF7416">
      <w:pPr>
        <w:suppressAutoHyphens w:val="0"/>
        <w:spacing w:after="0" w:line="240" w:lineRule="auto"/>
        <w:ind w:left="567" w:hanging="141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d) w razie zgonu na chorobę zakaźną zastosowanie mają przepisy Rozporządzenie Ministra Zdrowia </w:t>
      </w:r>
      <w:r w:rsidR="00F83F6F">
        <w:rPr>
          <w:rFonts w:ascii="Arial Narrow" w:hAnsi="Arial Narrow" w:cs="Arial"/>
          <w:lang w:eastAsia="pl-PL"/>
        </w:rPr>
        <w:t xml:space="preserve">           </w:t>
      </w:r>
      <w:r>
        <w:rPr>
          <w:rFonts w:ascii="Arial Narrow" w:hAnsi="Arial Narrow" w:cs="Arial"/>
          <w:lang w:eastAsia="pl-PL"/>
        </w:rPr>
        <w:t>z 7 grudnia 2001 r. w sprawie postępowania ze zwłokami i szczątkami ludzkimi (Dz. U. 2001, Nr. 153 poz.1783 z póżn.zm.), oraz Rozporządzenie Ministra Zdrowia z 3 kwietnia 2020 r. zmieniające rozporz</w:t>
      </w:r>
      <w:r>
        <w:rPr>
          <w:rFonts w:ascii="Arial Narrow" w:hAnsi="Arial Narrow" w:cs="Arial"/>
          <w:lang w:eastAsia="pl-PL"/>
        </w:rPr>
        <w:t>ą</w:t>
      </w:r>
      <w:r>
        <w:rPr>
          <w:rFonts w:ascii="Arial Narrow" w:hAnsi="Arial Narrow" w:cs="Arial"/>
          <w:lang w:eastAsia="pl-PL"/>
        </w:rPr>
        <w:t xml:space="preserve">dzenie w sprawie postępowania ze zwłokami i szczątkami ludzkimi ( Dz. U. 2020 r . Nr 585 ), za </w:t>
      </w:r>
      <w:r w:rsidRPr="00CE6B39">
        <w:rPr>
          <w:rFonts w:ascii="Arial Narrow" w:hAnsi="Arial Narrow" w:cs="Arial"/>
          <w:lang w:eastAsia="pl-PL"/>
        </w:rPr>
        <w:t>wypos</w:t>
      </w:r>
      <w:r w:rsidRPr="00CE6B39">
        <w:rPr>
          <w:rFonts w:ascii="Arial Narrow" w:hAnsi="Arial Narrow" w:cs="Arial"/>
          <w:lang w:eastAsia="pl-PL"/>
        </w:rPr>
        <w:t>a</w:t>
      </w:r>
      <w:r w:rsidRPr="00CE6B39">
        <w:rPr>
          <w:rFonts w:ascii="Arial Narrow" w:hAnsi="Arial Narrow" w:cs="Arial"/>
          <w:lang w:eastAsia="pl-PL"/>
        </w:rPr>
        <w:t>żenie w środki ochrony indywidualnej pracowników Wykonawcy uprawnionych do przewozu zwłok zmarł</w:t>
      </w:r>
      <w:r w:rsidRPr="00CE6B39">
        <w:rPr>
          <w:rFonts w:ascii="Arial Narrow" w:hAnsi="Arial Narrow" w:cs="Arial"/>
          <w:lang w:eastAsia="pl-PL"/>
        </w:rPr>
        <w:t>e</w:t>
      </w:r>
      <w:r w:rsidRPr="00CE6B39">
        <w:rPr>
          <w:rFonts w:ascii="Arial Narrow" w:hAnsi="Arial Narrow" w:cs="Arial"/>
          <w:lang w:eastAsia="pl-PL"/>
        </w:rPr>
        <w:t xml:space="preserve">go zakażonego wirusem SARS – </w:t>
      </w:r>
      <w:proofErr w:type="spellStart"/>
      <w:r w:rsidRPr="00CE6B39">
        <w:rPr>
          <w:rFonts w:ascii="Arial Narrow" w:hAnsi="Arial Narrow" w:cs="Arial"/>
          <w:lang w:eastAsia="pl-PL"/>
        </w:rPr>
        <w:t>CoV</w:t>
      </w:r>
      <w:proofErr w:type="spellEnd"/>
      <w:r w:rsidRPr="00CE6B39">
        <w:rPr>
          <w:rFonts w:ascii="Arial Narrow" w:hAnsi="Arial Narrow" w:cs="Arial"/>
          <w:lang w:eastAsia="pl-PL"/>
        </w:rPr>
        <w:t xml:space="preserve"> – 2 odpowiada Wykonawca.</w:t>
      </w:r>
    </w:p>
    <w:p w:rsidR="0011129A" w:rsidRPr="00CE6B39" w:rsidRDefault="00AF7416">
      <w:pPr>
        <w:suppressAutoHyphens w:val="0"/>
        <w:spacing w:after="0" w:line="240" w:lineRule="auto"/>
        <w:ind w:left="567" w:hanging="141"/>
        <w:jc w:val="both"/>
        <w:rPr>
          <w:rFonts w:ascii="Arial Narrow" w:hAnsi="Arial Narrow" w:cs="Arial"/>
          <w:lang w:eastAsia="pl-PL"/>
        </w:rPr>
      </w:pPr>
      <w:r w:rsidRPr="00CE6B39">
        <w:rPr>
          <w:rFonts w:ascii="Arial Narrow" w:hAnsi="Arial Narrow" w:cs="Arial"/>
          <w:lang w:eastAsia="pl-PL"/>
        </w:rPr>
        <w:t xml:space="preserve">e) w razie zgonu osoby w czasie odbywania kary pozbawienia wolności zastosowanie mają przepisy </w:t>
      </w:r>
      <w:r w:rsidR="004B6B51">
        <w:rPr>
          <w:rFonts w:ascii="Arial Narrow" w:hAnsi="Arial Narrow" w:cs="Arial"/>
          <w:lang w:eastAsia="pl-PL"/>
        </w:rPr>
        <w:t xml:space="preserve">           </w:t>
      </w:r>
      <w:r w:rsidRPr="00CE6B39">
        <w:rPr>
          <w:rFonts w:ascii="Arial Narrow" w:hAnsi="Arial Narrow" w:cs="Arial"/>
          <w:lang w:eastAsia="pl-PL"/>
        </w:rPr>
        <w:t xml:space="preserve">w sprawie sposobu postępowania ze zwłokami osób zmarłych w czasie odbywania kary pozbawienia </w:t>
      </w:r>
      <w:r w:rsidR="004B6B51">
        <w:rPr>
          <w:rFonts w:ascii="Arial Narrow" w:hAnsi="Arial Narrow" w:cs="Arial"/>
          <w:lang w:eastAsia="pl-PL"/>
        </w:rPr>
        <w:t xml:space="preserve"> </w:t>
      </w:r>
      <w:r w:rsidRPr="00CE6B39">
        <w:rPr>
          <w:rFonts w:ascii="Arial Narrow" w:hAnsi="Arial Narrow" w:cs="Arial"/>
          <w:lang w:eastAsia="pl-PL"/>
        </w:rPr>
        <w:t xml:space="preserve">wolności.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Zamawiający nie ponosi kosztów przechowywania zwłok zmarłych pacjentów w chłodni powyżej </w:t>
      </w:r>
      <w:r>
        <w:rPr>
          <w:rFonts w:ascii="Arial Narrow" w:hAnsi="Arial Narrow" w:cs="Arial"/>
          <w:b/>
          <w:bCs/>
          <w:lang w:eastAsia="pl-PL"/>
        </w:rPr>
        <w:t xml:space="preserve">72 godzin, </w:t>
      </w:r>
      <w:r>
        <w:rPr>
          <w:rFonts w:ascii="Arial Narrow" w:hAnsi="Arial Narrow" w:cs="Arial"/>
          <w:lang w:eastAsia="pl-PL"/>
        </w:rPr>
        <w:t xml:space="preserve">jeżeli nie zachodzą przesłanki o których mowa powyżej.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Zwłoki muszą być wydane osobie uprawnionej w stanie czystym, schludnym, </w:t>
      </w:r>
      <w:r w:rsidR="00223D14">
        <w:rPr>
          <w:rFonts w:ascii="Arial Narrow" w:hAnsi="Arial Narrow" w:cs="Arial"/>
          <w:lang w:eastAsia="pl-PL"/>
        </w:rPr>
        <w:t>okryte</w:t>
      </w:r>
      <w:r>
        <w:rPr>
          <w:rFonts w:ascii="Arial Narrow" w:hAnsi="Arial Narrow" w:cs="Arial"/>
          <w:lang w:eastAsia="pl-PL"/>
        </w:rPr>
        <w:t>, z zachowaniem go</w:t>
      </w:r>
      <w:r>
        <w:rPr>
          <w:rFonts w:ascii="Arial Narrow" w:hAnsi="Arial Narrow" w:cs="Arial"/>
          <w:lang w:eastAsia="pl-PL"/>
        </w:rPr>
        <w:t>d</w:t>
      </w:r>
      <w:r>
        <w:rPr>
          <w:rFonts w:ascii="Arial Narrow" w:hAnsi="Arial Narrow" w:cs="Arial"/>
          <w:lang w:eastAsia="pl-PL"/>
        </w:rPr>
        <w:t xml:space="preserve">ności należnej zmarłemu – z wyłączeniem czynności stanowiących przygotowanie do pochowania. </w:t>
      </w:r>
      <w:r w:rsidR="00223D14">
        <w:rPr>
          <w:rFonts w:ascii="Arial Narrow" w:hAnsi="Arial Narrow" w:cs="Arial"/>
          <w:lang w:eastAsia="pl-PL"/>
        </w:rPr>
        <w:t>Koszty przygotowania zwłok do wydania ponosi Wykonawca.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zapewni dostęp osób bliskich do zmarłego pacjenta do czasu wykonania czynności stanowi</w:t>
      </w:r>
      <w:r>
        <w:rPr>
          <w:rFonts w:ascii="Arial Narrow" w:hAnsi="Arial Narrow" w:cs="Arial"/>
          <w:lang w:eastAsia="pl-PL"/>
        </w:rPr>
        <w:t>ą</w:t>
      </w:r>
      <w:r>
        <w:rPr>
          <w:rFonts w:ascii="Arial Narrow" w:hAnsi="Arial Narrow" w:cs="Arial"/>
          <w:lang w:eastAsia="pl-PL"/>
        </w:rPr>
        <w:t xml:space="preserve">cych przygotowanie zwłok osoby zmarłej do pochowania i umożliwi to w godzinach ustalonych przez i w sposób nieodpłatny.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nieodpłatnie wyda, zgodnie z obowiązującymi przepisami i dokumentacją, zwłok</w:t>
      </w:r>
      <w:r w:rsidR="004B6B51">
        <w:rPr>
          <w:rFonts w:ascii="Arial Narrow" w:hAnsi="Arial Narrow" w:cs="Arial"/>
          <w:lang w:eastAsia="pl-PL"/>
        </w:rPr>
        <w:t>i</w:t>
      </w:r>
      <w:bookmarkStart w:id="1" w:name="_GoBack"/>
      <w:bookmarkEnd w:id="1"/>
      <w:r>
        <w:rPr>
          <w:rFonts w:ascii="Arial Narrow" w:hAnsi="Arial Narrow" w:cs="Arial"/>
          <w:lang w:eastAsia="pl-PL"/>
        </w:rPr>
        <w:t xml:space="preserve"> pacjentów osobie uprawnionej do pochówku w stanie zapewniającym zachowanie godności należnej osobie zmarłej.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lastRenderedPageBreak/>
        <w:t xml:space="preserve">Zwłoki osoby zmarłej wydaje się osobom, które przedstawią kartę / akt zgonu.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Rodzina lub osoba uprawniona do pochówku ma swobodny wybór firmy świadczącej usługi pogrzebowe, za które to czynności koszty ponosi rodzina lub osoba uprawniona do pochówku. Wszelkie  </w:t>
      </w:r>
      <w:r>
        <w:rPr>
          <w:rFonts w:ascii="Arial Narrow" w:hAnsi="Arial Narrow"/>
        </w:rPr>
        <w:t>praktyki utrudniaj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ce lub wpływające na decyzję rodziny zmarłego o wyborze podmiotu świadczącego usługi pogrzebowe </w:t>
      </w:r>
      <w:r w:rsidR="00223D14">
        <w:rPr>
          <w:rFonts w:ascii="Arial Narrow" w:hAnsi="Arial Narrow"/>
        </w:rPr>
        <w:t>Z</w:t>
      </w:r>
      <w:r w:rsidR="00223D14">
        <w:rPr>
          <w:rFonts w:ascii="Arial Narrow" w:hAnsi="Arial Narrow"/>
        </w:rPr>
        <w:t>a</w:t>
      </w:r>
      <w:r w:rsidR="00223D14">
        <w:rPr>
          <w:rFonts w:ascii="Arial Narrow" w:hAnsi="Arial Narrow"/>
        </w:rPr>
        <w:t xml:space="preserve">mawiający </w:t>
      </w:r>
      <w:r>
        <w:rPr>
          <w:rFonts w:ascii="Arial Narrow" w:hAnsi="Arial Narrow"/>
        </w:rPr>
        <w:t>uznaje za nieodpuszczalne.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Jeżeli nikt z osób bliskich dla zmarłego pacjenta nie zgłosi się po zwłoki w ciągu </w:t>
      </w:r>
      <w:r>
        <w:rPr>
          <w:rFonts w:ascii="Arial Narrow" w:hAnsi="Arial Narrow" w:cs="Arial"/>
          <w:b/>
          <w:bCs/>
          <w:lang w:eastAsia="pl-PL"/>
        </w:rPr>
        <w:t xml:space="preserve">72 godzin </w:t>
      </w:r>
      <w:r>
        <w:rPr>
          <w:rFonts w:ascii="Arial Narrow" w:hAnsi="Arial Narrow" w:cs="Arial"/>
          <w:lang w:eastAsia="pl-PL"/>
        </w:rPr>
        <w:t>od chwili zgonu Wykonawca powiadamia o tym Zamawiającego w celu wydania przez niego decyzji, co do dalszego post</w:t>
      </w:r>
      <w:r>
        <w:rPr>
          <w:rFonts w:ascii="Arial Narrow" w:hAnsi="Arial Narrow" w:cs="Arial"/>
          <w:lang w:eastAsia="pl-PL"/>
        </w:rPr>
        <w:t>ę</w:t>
      </w:r>
      <w:r>
        <w:rPr>
          <w:rFonts w:ascii="Arial Narrow" w:hAnsi="Arial Narrow" w:cs="Arial"/>
          <w:lang w:eastAsia="pl-PL"/>
        </w:rPr>
        <w:t xml:space="preserve">powania ze zwłokami.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zobowiązany jest do prowadzenia dokumentacji medycznej oraz sprawozdawczości statystyc</w:t>
      </w:r>
      <w:r>
        <w:rPr>
          <w:rFonts w:ascii="Arial Narrow" w:hAnsi="Arial Narrow" w:cs="Arial"/>
          <w:lang w:eastAsia="pl-PL"/>
        </w:rPr>
        <w:t>z</w:t>
      </w:r>
      <w:r>
        <w:rPr>
          <w:rFonts w:ascii="Arial Narrow" w:hAnsi="Arial Narrow" w:cs="Arial"/>
          <w:lang w:eastAsia="pl-PL"/>
        </w:rPr>
        <w:t xml:space="preserve">nej obowiązującej w publicznych zakładach opieki zdrowotnej, w zakresie zadań wynikających z treści umowy oraz rejestru przechowywanych i wydawanych zwłok.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musi zapewnić na swój koszt i we własnym zakresie środki transportu oraz worki przystosow</w:t>
      </w:r>
      <w:r>
        <w:rPr>
          <w:rFonts w:ascii="Arial Narrow" w:hAnsi="Arial Narrow" w:cs="Arial"/>
          <w:lang w:eastAsia="pl-PL"/>
        </w:rPr>
        <w:t>a</w:t>
      </w:r>
      <w:r>
        <w:rPr>
          <w:rFonts w:ascii="Arial Narrow" w:hAnsi="Arial Narrow" w:cs="Arial"/>
          <w:lang w:eastAsia="pl-PL"/>
        </w:rPr>
        <w:t xml:space="preserve">ne do przewożenia zwłok oraz niezbędne wyposażenie w sprzęt, urządzenia, narzędzia, a także materiały opatrunkowe i środki myjąco-dezynfekujące.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zobowiązany jest do przedkładania Zamawiającemu wykazu uprawnionych pracowników do odbioru i transportu zwłok na koniec każdego roku kalendarzowego oraz aktualizacji w sytuacji zmiany pr</w:t>
      </w:r>
      <w:r>
        <w:rPr>
          <w:rFonts w:ascii="Arial Narrow" w:hAnsi="Arial Narrow" w:cs="Arial"/>
          <w:lang w:eastAsia="pl-PL"/>
        </w:rPr>
        <w:t>a</w:t>
      </w:r>
      <w:r>
        <w:rPr>
          <w:rFonts w:ascii="Arial Narrow" w:hAnsi="Arial Narrow" w:cs="Arial"/>
          <w:lang w:eastAsia="pl-PL"/>
        </w:rPr>
        <w:t xml:space="preserve">cownika.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zobowiązuje się do posiadania każdorazowo stosowanego upoważnienia osobistego lub ide</w:t>
      </w:r>
      <w:r>
        <w:rPr>
          <w:rFonts w:ascii="Arial Narrow" w:hAnsi="Arial Narrow" w:cs="Arial"/>
          <w:lang w:eastAsia="pl-PL"/>
        </w:rPr>
        <w:t>n</w:t>
      </w:r>
      <w:r>
        <w:rPr>
          <w:rFonts w:ascii="Arial Narrow" w:hAnsi="Arial Narrow" w:cs="Arial"/>
          <w:lang w:eastAsia="pl-PL"/>
        </w:rPr>
        <w:t xml:space="preserve">tyfikatora zawierającego imię, nazwisko i nazwę Wykonawcy przy odbiorze zwłok.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Wykonawca zobowiązany jest autoryzować odbiór zwłok z Oddziału do chłodni.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zobowiązany jest do stosowania przyjętych norm jakości Zamawiającego oraz umożliwienia przeprowadzania audytów w zakresie przedmiotu umowy.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 Wykonawca zobowiązany jest do zachowania w tajemnicy uzyskanych w czasie realizacji umowy informacji podlegających ochronie.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Wykonawcę obowiązuje godnego zachowania i postępowania ze zwłokami.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Wykonawca zobowiązuje się do wykonania zamówienia w stosownej odzieży ochronnej.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Wykonawca zobowiązany jest do posiadania całodobowego telefonu. </w:t>
      </w:r>
      <w:r>
        <w:rPr>
          <w:rFonts w:ascii="Arial Narrow" w:hAnsi="Arial Narrow" w:cs="Arial"/>
          <w:color w:val="FF0000"/>
          <w:lang w:eastAsia="pl-PL"/>
        </w:rPr>
        <w:t xml:space="preserve">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Wykonawca oświadcza, że posiada stosowne zezwolenia niezbędne do realizacji przedmiotu umowy (ko</w:t>
      </w:r>
      <w:r>
        <w:rPr>
          <w:rFonts w:ascii="Arial Narrow" w:hAnsi="Arial Narrow" w:cs="Arial"/>
          <w:lang w:eastAsia="pl-PL"/>
        </w:rPr>
        <w:t>n</w:t>
      </w:r>
      <w:r>
        <w:rPr>
          <w:rFonts w:ascii="Arial Narrow" w:hAnsi="Arial Narrow" w:cs="Arial"/>
          <w:lang w:eastAsia="pl-PL"/>
        </w:rPr>
        <w:t xml:space="preserve">cesje, decyzje, zezwolenia).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Ciało osoby zmarłej w Szpitalu Ogólnym im. dr Witolda Ginela w Grajewie wydane zostanie wyłącznie uprawnionemu pracownikowi Wykonawcy który posiada imienny identyfikator zawierający imię i nazwisko oraz nazwę wykonawcy usługi. </w:t>
      </w:r>
    </w:p>
    <w:p w:rsidR="0011129A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Przewóz zwłok osób zmarłych w Szpitalu Ogólnym im. dr Witolda Ginela w Grajewie na sekcje przeprow</w:t>
      </w:r>
      <w:r>
        <w:rPr>
          <w:rFonts w:ascii="Arial Narrow" w:hAnsi="Arial Narrow" w:cs="Arial"/>
          <w:lang w:eastAsia="pl-PL"/>
        </w:rPr>
        <w:t>a</w:t>
      </w:r>
      <w:r>
        <w:rPr>
          <w:rFonts w:ascii="Arial Narrow" w:hAnsi="Arial Narrow" w:cs="Arial"/>
          <w:lang w:eastAsia="pl-PL"/>
        </w:rPr>
        <w:t>dzane w Białymstoku, Zleceniobiorca zobowiązany jest w ramach zawartej umowy do świadczenia usługi transportu zwłok z chłodni do miejsca przeprowadzenia sekcji oraz z miejsca przeprowadzenia sekcji (po jej wykonaniu) do chłodni. Transport zwłok na sekcje odbywać się będzie w dniu wykonania sekcji oraz odbiór i ich przywiezienie do chłodni niezwłocznie po wykonaniu sekcji. W przypadku odbioru zwłok w innym term</w:t>
      </w:r>
      <w:r>
        <w:rPr>
          <w:rFonts w:ascii="Arial Narrow" w:hAnsi="Arial Narrow" w:cs="Arial"/>
          <w:lang w:eastAsia="pl-PL"/>
        </w:rPr>
        <w:t>i</w:t>
      </w:r>
      <w:r>
        <w:rPr>
          <w:rFonts w:ascii="Arial Narrow" w:hAnsi="Arial Narrow" w:cs="Arial"/>
          <w:lang w:eastAsia="pl-PL"/>
        </w:rPr>
        <w:t>nie z winy Zleceniobiorcy koszt przechowywania ponosi Zleceniobiorca. Jeżeli sekcja zakończy się po g</w:t>
      </w:r>
      <w:r>
        <w:rPr>
          <w:rFonts w:ascii="Arial Narrow" w:hAnsi="Arial Narrow" w:cs="Arial"/>
          <w:lang w:eastAsia="pl-PL"/>
        </w:rPr>
        <w:t>o</w:t>
      </w:r>
      <w:r>
        <w:rPr>
          <w:rFonts w:ascii="Arial Narrow" w:hAnsi="Arial Narrow" w:cs="Arial"/>
          <w:lang w:eastAsia="pl-PL"/>
        </w:rPr>
        <w:t xml:space="preserve">dzinie 13:00 koszt przechowywania ponosi Zleceniodawca. Ciało po sekcji z Białymstoku, odbiera wyłącznie uprawniony pracownik Zleceniobiorcy. </w:t>
      </w:r>
    </w:p>
    <w:p w:rsidR="0011129A" w:rsidRPr="00C637F9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Transport zwłok na sekcje odbywać się będzie na </w:t>
      </w:r>
      <w:r w:rsidRPr="00C637F9">
        <w:rPr>
          <w:rFonts w:ascii="Arial Narrow" w:hAnsi="Arial Narrow" w:cs="Arial"/>
          <w:lang w:eastAsia="pl-PL"/>
        </w:rPr>
        <w:t xml:space="preserve">podstawie pisemnego zlecenia Zleceniodawcy. Kopia zlecenia na transport zwłok na sekcję będzie dołączona do Faktury za realizację usługi Zapotrzebowanie na transport zgłoszone będzie Zleceniobiorcy telefonicznie, a następnie przekazane kierowcy realizującemu zlecenie w dniu wykonania transportu. </w:t>
      </w:r>
    </w:p>
    <w:p w:rsidR="0011129A" w:rsidRPr="00C637F9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 w:rsidRPr="00C637F9">
        <w:rPr>
          <w:rFonts w:ascii="Arial Narrow" w:hAnsi="Arial Narrow" w:cs="Arial"/>
          <w:lang w:eastAsia="pl-PL"/>
        </w:rPr>
        <w:t xml:space="preserve">W ramach realizacji umowy Zleceniodawca i Zleceniobiorca gwarantują bezpieczeństwo przetwarzanych informacji zgodnie z przepisami ustawy z dnia 10 Maja 2018 r. o ochronie danych osobowych ( Dz. U. 2019 r.,1781) oraz przepisami Rozporządzenia Parlamentu Europejskiego i Rady (VE/2016/679 z 27.04.2016 r.) „ RODO ‘’. </w:t>
      </w:r>
    </w:p>
    <w:p w:rsidR="0011129A" w:rsidRPr="00C637F9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 w:rsidRPr="00C637F9">
        <w:rPr>
          <w:rFonts w:ascii="Arial Narrow" w:hAnsi="Arial Narrow" w:cs="Arial"/>
          <w:lang w:eastAsia="pl-PL"/>
        </w:rPr>
        <w:t>Wykonawca zobowiązany jest do zgłaszania Zamawiającemu wszelkich zdarzeń naruszenia bezpiecze</w:t>
      </w:r>
      <w:r w:rsidRPr="00C637F9">
        <w:rPr>
          <w:rFonts w:ascii="Arial Narrow" w:hAnsi="Arial Narrow" w:cs="Arial"/>
          <w:lang w:eastAsia="pl-PL"/>
        </w:rPr>
        <w:t>ń</w:t>
      </w:r>
      <w:r w:rsidRPr="00C637F9">
        <w:rPr>
          <w:rFonts w:ascii="Arial Narrow" w:hAnsi="Arial Narrow" w:cs="Arial"/>
          <w:lang w:eastAsia="pl-PL"/>
        </w:rPr>
        <w:t xml:space="preserve">stwa powierzonych informacji. </w:t>
      </w:r>
    </w:p>
    <w:p w:rsidR="0011129A" w:rsidRPr="00C637F9" w:rsidRDefault="00AF7416">
      <w:pPr>
        <w:pStyle w:val="Akapitzlist"/>
        <w:numPr>
          <w:ilvl w:val="0"/>
          <w:numId w:val="2"/>
        </w:numPr>
        <w:suppressAutoHyphens w:val="0"/>
        <w:spacing w:after="3" w:line="240" w:lineRule="auto"/>
        <w:ind w:left="426"/>
        <w:jc w:val="both"/>
        <w:rPr>
          <w:rFonts w:ascii="Arial Narrow" w:hAnsi="Arial Narrow" w:cs="Arial"/>
          <w:lang w:eastAsia="pl-PL"/>
        </w:rPr>
      </w:pPr>
      <w:r w:rsidRPr="00C637F9">
        <w:rPr>
          <w:rFonts w:ascii="Arial Narrow" w:hAnsi="Arial Narrow" w:cs="Arial"/>
          <w:lang w:eastAsia="pl-PL"/>
        </w:rPr>
        <w:t xml:space="preserve">Wykonawca zobowiązuje się do podania się kontroli szpitala lub organów kontrolujących szpital w zakresie objętym </w:t>
      </w:r>
      <w:r w:rsidR="00F7504E" w:rsidRPr="00C637F9">
        <w:rPr>
          <w:rFonts w:ascii="Arial Narrow" w:hAnsi="Arial Narrow" w:cs="Arial"/>
          <w:lang w:eastAsia="pl-PL"/>
        </w:rPr>
        <w:t>ogłoszeniem</w:t>
      </w:r>
      <w:r w:rsidRPr="00C637F9">
        <w:rPr>
          <w:rFonts w:ascii="Arial Narrow" w:hAnsi="Arial Narrow" w:cs="Arial"/>
          <w:lang w:eastAsia="pl-PL"/>
        </w:rPr>
        <w:t>.</w:t>
      </w:r>
    </w:p>
    <w:sectPr w:rsidR="0011129A" w:rsidRPr="00C637F9">
      <w:headerReference w:type="default" r:id="rId10"/>
      <w:pgSz w:w="11906" w:h="16838"/>
      <w:pgMar w:top="19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2" w:rsidRDefault="00E83832">
      <w:pPr>
        <w:spacing w:after="0" w:line="240" w:lineRule="auto"/>
      </w:pPr>
      <w:r>
        <w:separator/>
      </w:r>
    </w:p>
  </w:endnote>
  <w:endnote w:type="continuationSeparator" w:id="0">
    <w:p w:rsidR="00E83832" w:rsidRDefault="00E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cima Nova Pro">
    <w:altName w:val="Cambria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ahnschrift SemiLight SemiConde"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2" w:rsidRDefault="00E83832">
      <w:pPr>
        <w:spacing w:after="0" w:line="240" w:lineRule="auto"/>
      </w:pPr>
      <w:r>
        <w:separator/>
      </w:r>
    </w:p>
  </w:footnote>
  <w:footnote w:type="continuationSeparator" w:id="0">
    <w:p w:rsidR="00E83832" w:rsidRDefault="00E8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A" w:rsidRDefault="00AF7416">
    <w:pPr>
      <w:pStyle w:val="Nagwek"/>
    </w:pPr>
    <w:r>
      <w:rPr>
        <w:noProof/>
        <w:lang w:eastAsia="pl-PL"/>
      </w:rPr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73A"/>
    <w:multiLevelType w:val="multilevel"/>
    <w:tmpl w:val="66A2CE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BA6C8A"/>
    <w:multiLevelType w:val="multilevel"/>
    <w:tmpl w:val="4CA0FB2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29A"/>
    <w:rsid w:val="0011129A"/>
    <w:rsid w:val="00223D14"/>
    <w:rsid w:val="003A3177"/>
    <w:rsid w:val="004B6B51"/>
    <w:rsid w:val="00557AD8"/>
    <w:rsid w:val="00AF7416"/>
    <w:rsid w:val="00BD3960"/>
    <w:rsid w:val="00C637F9"/>
    <w:rsid w:val="00CE6B39"/>
    <w:rsid w:val="00D30A61"/>
    <w:rsid w:val="00E83832"/>
    <w:rsid w:val="00F7504E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84A51-B0D4-4F10-948A-D2457EC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mswirydziuk</dc:creator>
  <dc:description/>
  <cp:lastModifiedBy>Kowalski Ryszard</cp:lastModifiedBy>
  <cp:revision>46</cp:revision>
  <cp:lastPrinted>2023-01-24T14:54:00Z</cp:lastPrinted>
  <dcterms:created xsi:type="dcterms:W3CDTF">2022-07-17T19:34:00Z</dcterms:created>
  <dcterms:modified xsi:type="dcterms:W3CDTF">2023-05-31T17:01:00Z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