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FF1F09E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D726AF">
        <w:rPr>
          <w:rFonts w:ascii="Times New Roman" w:hAnsi="Times New Roman"/>
          <w:bCs/>
          <w:color w:val="800000"/>
          <w:sz w:val="24"/>
          <w:szCs w:val="24"/>
        </w:rPr>
        <w:t>4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4970D256" w14:textId="7C5946C4" w:rsidR="00740C20" w:rsidRPr="00740C20" w:rsidRDefault="00740C20" w:rsidP="00CB7C50">
      <w:pPr>
        <w:jc w:val="center"/>
        <w:rPr>
          <w:b/>
          <w:sz w:val="28"/>
          <w:szCs w:val="28"/>
        </w:rPr>
      </w:pPr>
      <w:r w:rsidRPr="00740C20">
        <w:rPr>
          <w:b/>
          <w:sz w:val="28"/>
          <w:szCs w:val="28"/>
        </w:rPr>
        <w:t>Przedmiotem zamówienia są remonty i bieżące utrzymanie dróg gminnych w 2021 roku obejmujące: drogi publiczne, drogi wewnętrzne.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050B95D" w14:textId="77777777" w:rsidR="0048221B" w:rsidRDefault="0048221B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3EC4338E" w14:textId="77777777" w:rsidR="006A2F50" w:rsidRPr="000F3325" w:rsidRDefault="006A2F50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77777777" w:rsidR="003D5C04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2C709C98" w14:textId="284FBA3B" w:rsidR="00DF2DE9" w:rsidRPr="00DF2DE9" w:rsidRDefault="00DF2DE9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Nr 3a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DF2DE9">
        <w:rPr>
          <w:rFonts w:ascii="Times New Roman" w:hAnsi="Times New Roman"/>
          <w:bCs/>
          <w:iCs/>
          <w:sz w:val="24"/>
          <w:szCs w:val="24"/>
        </w:rPr>
        <w:t>Szczegółowa specyfikacja techniczna (SST)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Pr="000F3325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3E9564BE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BA3CBE">
        <w:rPr>
          <w:b/>
          <w:bCs/>
        </w:rPr>
        <w:t>4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02CBC20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A6AAE" w14:textId="3B1CA8FC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7AB99AB3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2831B24B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0E5997D7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601011F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6D1A3F9F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A844D94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243DFB4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F465240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7FDBBBC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E99EC16" w:rsidR="00FF76EC" w:rsidRPr="000F3325" w:rsidRDefault="0047212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13A359A" w:rsidR="00FF76EC" w:rsidRPr="000F3325" w:rsidRDefault="0047212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42705C47" w:rsidR="00D70C52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</w:p>
          <w:p w14:paraId="464DCA46" w14:textId="0BC14A15" w:rsidR="00045CAD" w:rsidRPr="000F3325" w:rsidRDefault="00472120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4ED67240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DF2DE9" w:rsidRPr="00DF2DE9">
        <w:rPr>
          <w:rFonts w:ascii="Times New Roman" w:eastAsia="Times New Roman" w:hAnsi="Times New Roman"/>
          <w:sz w:val="24"/>
          <w:szCs w:val="24"/>
          <w:lang w:eastAsia="pl-PL"/>
        </w:rPr>
        <w:t>remonty i bieżące utrzymanie dróg gminnych w 2021 roku obejmujące: drogi publiczne,</w:t>
      </w:r>
      <w:r w:rsidR="00DF2DE9" w:rsidRPr="00DF2DE9">
        <w:rPr>
          <w:rFonts w:ascii="Times New Roman" w:hAnsi="Times New Roman"/>
          <w:sz w:val="24"/>
          <w:szCs w:val="24"/>
        </w:rPr>
        <w:t xml:space="preserve"> drogi wewnętrzne.</w:t>
      </w:r>
    </w:p>
    <w:p w14:paraId="4465AA6F" w14:textId="06CA2DF3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472120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0F77ECF2" w14:textId="037A52E1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Załącznikach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472120">
        <w:rPr>
          <w:rFonts w:ascii="Times New Roman" w:hAnsi="Times New Roman"/>
          <w:sz w:val="24"/>
          <w:szCs w:val="24"/>
        </w:rPr>
        <w:t xml:space="preserve"> i 3a</w:t>
      </w:r>
      <w:r w:rsidR="00DF2DE9">
        <w:rPr>
          <w:rFonts w:ascii="Times New Roman" w:hAnsi="Times New Roman"/>
          <w:sz w:val="24"/>
          <w:szCs w:val="24"/>
        </w:rPr>
        <w:t xml:space="preserve"> do SWZ – OPZ oraz </w:t>
      </w:r>
      <w:r w:rsidR="00472120">
        <w:rPr>
          <w:rFonts w:ascii="Times New Roman" w:hAnsi="Times New Roman"/>
          <w:sz w:val="24"/>
          <w:szCs w:val="24"/>
        </w:rPr>
        <w:t>SST.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1A26E4AB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472120">
        <w:rPr>
          <w:rFonts w:ascii="Times New Roman" w:hAnsi="Times New Roman"/>
          <w:sz w:val="24"/>
          <w:szCs w:val="24"/>
        </w:rPr>
        <w:t>skazanej w załączniku nr 3a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300661CD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432796">
        <w:rPr>
          <w:rFonts w:ascii="Times New Roman" w:hAnsi="Times New Roman"/>
          <w:sz w:val="24"/>
          <w:szCs w:val="24"/>
        </w:rPr>
        <w:t>1</w:t>
      </w:r>
      <w:r w:rsidR="003277A6">
        <w:rPr>
          <w:rFonts w:ascii="Times New Roman" w:hAnsi="Times New Roman"/>
          <w:sz w:val="24"/>
          <w:szCs w:val="24"/>
        </w:rPr>
        <w:t>2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1F2798">
        <w:rPr>
          <w:rFonts w:ascii="Times New Roman" w:hAnsi="Times New Roman"/>
          <w:sz w:val="24"/>
          <w:szCs w:val="24"/>
        </w:rPr>
        <w:t>7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0F3325" w:rsidRDefault="00A05191" w:rsidP="00A05191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A70952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12D2F5F9" w14:textId="77777777" w:rsidR="00A05191" w:rsidRPr="000F3325" w:rsidRDefault="00A05191" w:rsidP="00A05191">
      <w:pPr>
        <w:spacing w:line="276" w:lineRule="auto"/>
        <w:ind w:left="426"/>
        <w:jc w:val="both"/>
      </w:pPr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5F1B8334" w14:textId="77777777" w:rsidR="0073588A" w:rsidRPr="0073588A" w:rsidRDefault="0073588A" w:rsidP="0073588A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3D853E6D" w14:textId="77777777" w:rsidR="0073588A" w:rsidRPr="0073588A" w:rsidRDefault="0073588A" w:rsidP="0073588A">
      <w:pPr>
        <w:pStyle w:val="Default"/>
        <w:ind w:firstLine="360"/>
        <w:rPr>
          <w:rFonts w:ascii="Times New Roman" w:hAnsi="Times New Roman" w:cs="Times New Roman"/>
        </w:rPr>
      </w:pPr>
      <w:r w:rsidRPr="0073588A">
        <w:rPr>
          <w:rFonts w:ascii="Times New Roman" w:hAnsi="Times New Roman" w:cs="Times New Roman"/>
        </w:rPr>
        <w:t xml:space="preserve">- roboty budowlane. </w:t>
      </w:r>
    </w:p>
    <w:p w14:paraId="6591E5D3" w14:textId="2B57D032" w:rsidR="00A05191" w:rsidRPr="0073588A" w:rsidRDefault="00A05191" w:rsidP="007358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stosownie do art. 95 ust. 1 ustawy </w:t>
      </w:r>
      <w:proofErr w:type="spellStart"/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Pzp</w:t>
      </w:r>
      <w:proofErr w:type="spellEnd"/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, określa obowiązek zatrudnienia na podstawie stosunku pracy osób wykonujących czynności w zakresie realizacji zamówienia </w:t>
      </w:r>
    </w:p>
    <w:p w14:paraId="292AC24B" w14:textId="77777777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14:paraId="686C8DA3" w14:textId="07242DB4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Wykonawca zobowiązany jest do informowania Zamawiającego o każdym przypadku zmiany osób wykonujących czynności wymienione w ust. 3 lub zmiany sposobu zatrudnienia tych osób, nie później niż w terminie 7 dni od dokonania takiej zmiany.</w:t>
      </w:r>
    </w:p>
    <w:p w14:paraId="2782909D" w14:textId="4D55EF9F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Każdorazowa zmiana wykazu osób o którym mowa nie wymaga aneksu do niniejszej umowy.</w:t>
      </w:r>
    </w:p>
    <w:p w14:paraId="56F2AE2D" w14:textId="3E767D8C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ma prawo zwrócić się do Państwowej Inspekcji Pracy o wykonanie czynności w ramach ustawowych kompetencji w celu sprawdzenia/kontroli zatrudnienia przez zatrudnienia przez Wykonawcę lub przez Podwykonawcę osób na umowę o pracę przy czynnościach o których mowa w </w:t>
      </w:r>
      <w:r w:rsidR="007563EA" w:rsidRPr="0073588A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1.</w:t>
      </w:r>
    </w:p>
    <w:p w14:paraId="3710D7B4" w14:textId="1F19DAF9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niewywiązania się z obowiązków, o których mowa w </w:t>
      </w:r>
      <w:r w:rsidR="007563EA" w:rsidRPr="0073588A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1-3, Wykonawca zobowiązany będzie do zapłaty kary, o których mowa odpowiednio w niniejszej umowie.</w:t>
      </w:r>
    </w:p>
    <w:p w14:paraId="1C2FE8B0" w14:textId="77777777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14:paraId="2619B444" w14:textId="65CB85AC" w:rsidR="0073588A" w:rsidRPr="00472120" w:rsidRDefault="00D87548" w:rsidP="007358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DF44D2" w:rsidRPr="0073588A">
        <w:rPr>
          <w:rFonts w:ascii="Times New Roman" w:hAnsi="Times New Roman"/>
          <w:sz w:val="24"/>
          <w:szCs w:val="24"/>
        </w:rPr>
        <w:t xml:space="preserve">dodatkowych </w:t>
      </w:r>
      <w:r w:rsidRPr="0073588A">
        <w:rPr>
          <w:rFonts w:ascii="Times New Roman" w:hAnsi="Times New Roman"/>
          <w:sz w:val="24"/>
          <w:szCs w:val="24"/>
        </w:rPr>
        <w:t xml:space="preserve">wymagań w zakresie zatrudniania osób, o których mowa w art. 96 ust. 2 pkt 2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0654945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6A4D04AC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0D209E" w:rsidRPr="000F3325">
        <w:rPr>
          <w:b/>
        </w:rPr>
        <w:t xml:space="preserve">do </w:t>
      </w:r>
      <w:r w:rsidR="000F3325" w:rsidRPr="000F3325">
        <w:rPr>
          <w:b/>
        </w:rPr>
        <w:t>31</w:t>
      </w:r>
      <w:r w:rsidR="00AD265F" w:rsidRPr="000F3325">
        <w:rPr>
          <w:b/>
        </w:rPr>
        <w:t>.12.2021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56BCF90A" w14:textId="21B13B83" w:rsidR="0006487F" w:rsidRPr="000F3325" w:rsidRDefault="0023394E" w:rsidP="00D15B5E">
      <w:pPr>
        <w:pStyle w:val="Teksttreci0"/>
        <w:numPr>
          <w:ilvl w:val="2"/>
          <w:numId w:val="23"/>
        </w:numPr>
        <w:shd w:val="clear" w:color="auto" w:fill="auto"/>
        <w:spacing w:line="276" w:lineRule="auto"/>
        <w:ind w:left="1134" w:right="20" w:hanging="426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Wykonawca spełni warunek, jeżeli wykaże, że w okresie ostatnich </w:t>
      </w:r>
      <w:r w:rsidR="00AE12E0">
        <w:rPr>
          <w:rFonts w:ascii="Times New Roman" w:hAnsi="Times New Roman" w:cs="Times New Roman"/>
          <w:i/>
          <w:color w:val="C00000"/>
          <w:sz w:val="24"/>
          <w:szCs w:val="24"/>
        </w:rPr>
        <w:t>5</w:t>
      </w:r>
      <w:r w:rsidR="00D5684F"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lat przed upływem terminu składania ofert, a jeżeli okres prowadzenia działalności jest krótszy - w tym okresie, wykonał należycie co najmniej </w:t>
      </w:r>
      <w:r w:rsidR="005B556D"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dwie </w:t>
      </w:r>
      <w:r w:rsidR="008A0F3E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</w:t>
      </w:r>
      <w:r w:rsidR="00AE12E0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roboty </w:t>
      </w:r>
      <w:r w:rsidR="00926A38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(jak zamówienie w sprawie) </w:t>
      </w:r>
      <w:r w:rsidR="0006487F" w:rsidRPr="000F3325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</w:t>
      </w:r>
      <w:r w:rsidR="0006487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o wartości nie mniej niż </w:t>
      </w:r>
      <w:r w:rsidR="00AE12E0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2</w:t>
      </w:r>
      <w:r w:rsidR="0006487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00 000 brutto*</w:t>
      </w: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14:paraId="5FB955C9" w14:textId="0B11D40D" w:rsidR="00AC0E31" w:rsidRPr="000F3325" w:rsidRDefault="00AC0E31" w:rsidP="0006487F">
      <w:pPr>
        <w:spacing w:before="60" w:after="60"/>
        <w:ind w:left="426"/>
        <w:jc w:val="both"/>
        <w:rPr>
          <w:i/>
        </w:rPr>
      </w:pPr>
      <w:r w:rsidRPr="000F3325">
        <w:rPr>
          <w:i/>
        </w:rPr>
        <w:lastRenderedPageBreak/>
        <w:t>Dla ww. wartości wykazanych przez Wykonawcę w walucie innej niż PLN, Zamawiający przyjmie przelicznik według średniego kursu z tabeli A Narodowego Banku Polskiego (</w:t>
      </w:r>
      <w:hyperlink r:id="rId12" w:history="1">
        <w:r w:rsidRPr="000F3325">
          <w:rPr>
            <w:rStyle w:val="Hipercze"/>
            <w:i/>
          </w:rPr>
          <w:t>http://www.nbp.pl/home.aspx?f=/kursy/kursya.html</w:t>
        </w:r>
      </w:hyperlink>
      <w:r w:rsidRPr="000F3325">
        <w:rPr>
          <w:i/>
        </w:rPr>
        <w:t>) dla danej waluty z dnia wszczęcia niniejszego postępowania (tj. z dnia ogłoszenia o zamówieniu w Biuletynie Zamówień Publicznych)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lastRenderedPageBreak/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44F648B1" w14:textId="4BFE7DA4" w:rsidR="00F95DBF" w:rsidRPr="004B7C1D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59F2802E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UWAGA: Wykonawca nie może, po upływie terminu składania ofert, powoływać się na zdolności lub sytuację podmiotów udostępniających zasoby, jeżeli na etapie składania ofert nie </w:t>
      </w:r>
      <w:r w:rsidRPr="000F3325">
        <w:lastRenderedPageBreak/>
        <w:t>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4" w:name="_GoBack"/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bookmarkEnd w:id="24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lastRenderedPageBreak/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 1 GB przy maksymalnej ilości 20 plików lub spakowanych katalogów.</w:t>
      </w:r>
    </w:p>
    <w:p w14:paraId="26E35E19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77777777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545AF" w:rsidRPr="000F3325">
        <w:rPr>
          <w:rFonts w:ascii="Times New Roman" w:hAnsi="Times New Roman"/>
          <w:sz w:val="24"/>
          <w:szCs w:val="24"/>
        </w:rPr>
        <w:t xml:space="preserve"> (wynagrodzenie ryczałtowe)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1209F661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Wykonawca zobowiązany jest do zabezpieczenia swojej oferty wadium w wysokości </w:t>
      </w:r>
      <w:r w:rsidR="00B921DE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B921DE">
        <w:rPr>
          <w:rFonts w:ascii="Times New Roman" w:hAnsi="Times New Roman"/>
          <w:i/>
          <w:sz w:val="24"/>
          <w:szCs w:val="24"/>
        </w:rPr>
        <w:t>trzy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B921DE">
        <w:rPr>
          <w:rFonts w:ascii="Times New Roman" w:hAnsi="Times New Roman"/>
          <w:i/>
          <w:sz w:val="24"/>
          <w:szCs w:val="24"/>
        </w:rPr>
        <w:t>ące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77777777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Pr="00CB7C50">
        <w:rPr>
          <w:b/>
          <w:i/>
          <w:color w:val="44546A" w:themeColor="text2"/>
        </w:rPr>
        <w:t>„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CB7C50" w:rsidRPr="00CB7C50">
        <w:rPr>
          <w:b/>
          <w:i/>
          <w:color w:val="44546A" w:themeColor="text2"/>
        </w:rPr>
        <w:t>4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CB7C50" w:rsidRPr="00CB7C50">
        <w:rPr>
          <w:b/>
          <w:color w:val="44546A" w:themeColor="text2"/>
        </w:rPr>
        <w:t>Przedmiotem zamówienia są remonty i bieżące utrzymanie dróg gminnych w 2021 roku obejmujące: drogi publiczne, drogi wewnętrzne.</w:t>
      </w:r>
    </w:p>
    <w:p w14:paraId="06F63B07" w14:textId="77777777" w:rsidR="00CB7C50" w:rsidRDefault="00CB7C50" w:rsidP="0089698D">
      <w:pPr>
        <w:tabs>
          <w:tab w:val="left" w:pos="426"/>
        </w:tabs>
        <w:spacing w:line="276" w:lineRule="auto"/>
        <w:ind w:left="426" w:hanging="426"/>
        <w:jc w:val="both"/>
        <w:rPr>
          <w:b/>
          <w:i/>
          <w:color w:val="538135" w:themeColor="accent6" w:themeShade="BF"/>
        </w:rPr>
      </w:pPr>
    </w:p>
    <w:p w14:paraId="415B2E60" w14:textId="77777777" w:rsidR="00CB7C50" w:rsidRDefault="00CB7C50" w:rsidP="0089698D">
      <w:pPr>
        <w:tabs>
          <w:tab w:val="left" w:pos="426"/>
        </w:tabs>
        <w:spacing w:line="276" w:lineRule="auto"/>
        <w:ind w:left="426" w:hanging="426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1FEFD58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</w:t>
      </w:r>
      <w:r w:rsidR="00E943BF" w:rsidRPr="000F3325">
        <w:rPr>
          <w:rFonts w:ascii="Times New Roman" w:hAnsi="Times New Roman"/>
          <w:b/>
          <w:sz w:val="24"/>
          <w:szCs w:val="24"/>
        </w:rPr>
        <w:t>) – waga</w:t>
      </w:r>
      <w:r w:rsidR="00AD2ED8">
        <w:rPr>
          <w:rFonts w:ascii="Times New Roman" w:hAnsi="Times New Roman"/>
          <w:b/>
          <w:sz w:val="24"/>
          <w:szCs w:val="24"/>
        </w:rPr>
        <w:t xml:space="preserve"> kryterium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E943BF" w:rsidRPr="000F3325">
        <w:rPr>
          <w:rFonts w:ascii="Times New Roman" w:hAnsi="Times New Roman"/>
          <w:b/>
          <w:sz w:val="24"/>
          <w:szCs w:val="24"/>
        </w:rPr>
        <w:t>0%: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AC1BE0" w:rsidRPr="000F3325" w14:paraId="7ADA591C" w14:textId="77777777" w:rsidTr="00472120">
        <w:trPr>
          <w:trHeight w:val="690"/>
        </w:trPr>
        <w:tc>
          <w:tcPr>
            <w:tcW w:w="5566" w:type="dxa"/>
            <w:vAlign w:val="center"/>
          </w:tcPr>
          <w:p w14:paraId="7667D43A" w14:textId="77777777" w:rsidR="00AC1BE0" w:rsidRDefault="00AC1BE0" w:rsidP="00472120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Gwarancja</w:t>
            </w:r>
          </w:p>
          <w:p w14:paraId="0845A1B8" w14:textId="77777777" w:rsidR="00AC1BE0" w:rsidRPr="000F3325" w:rsidRDefault="00AC1BE0" w:rsidP="00472120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Podstawow</w:t>
            </w:r>
            <w:r>
              <w:rPr>
                <w:rFonts w:eastAsia="Arial"/>
                <w:b/>
              </w:rPr>
              <w:t>a</w:t>
            </w:r>
            <w:r w:rsidRPr="000F3325">
              <w:rPr>
                <w:rFonts w:eastAsia="Arial"/>
                <w:b/>
              </w:rPr>
              <w:t xml:space="preserve">: </w:t>
            </w:r>
            <w:r>
              <w:rPr>
                <w:rFonts w:eastAsia="Arial"/>
                <w:b/>
              </w:rPr>
              <w:t xml:space="preserve"> 12 miesięcy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14:paraId="7259D201" w14:textId="77777777" w:rsidR="00AC1BE0" w:rsidRPr="000F3325" w:rsidRDefault="00AC1BE0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AC1BE0" w:rsidRPr="000F3325" w14:paraId="1CCC43E1" w14:textId="77777777" w:rsidTr="00472120">
        <w:trPr>
          <w:trHeight w:val="690"/>
        </w:trPr>
        <w:tc>
          <w:tcPr>
            <w:tcW w:w="5566" w:type="dxa"/>
            <w:vAlign w:val="center"/>
          </w:tcPr>
          <w:p w14:paraId="259984FA" w14:textId="77777777" w:rsidR="00AC1BE0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Gwarancja </w:t>
            </w:r>
          </w:p>
          <w:p w14:paraId="0D8F43C3" w14:textId="77777777" w:rsidR="00AC1BE0" w:rsidRPr="000F3325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Punktowana</w:t>
            </w:r>
            <w:r w:rsidRPr="000F3325">
              <w:rPr>
                <w:rFonts w:eastAsia="Arial"/>
                <w:b/>
              </w:rPr>
              <w:t xml:space="preserve">: </w:t>
            </w:r>
            <w:r w:rsidRPr="000F3325">
              <w:rPr>
                <w:rFonts w:eastAsia="Arial"/>
                <w:bCs/>
                <w:i/>
                <w:iCs/>
              </w:rPr>
              <w:t xml:space="preserve">  </w:t>
            </w:r>
            <w:r>
              <w:rPr>
                <w:rFonts w:eastAsia="Arial"/>
                <w:b/>
              </w:rPr>
              <w:t>18 miesięcy</w:t>
            </w:r>
          </w:p>
        </w:tc>
        <w:tc>
          <w:tcPr>
            <w:tcW w:w="2195" w:type="dxa"/>
            <w:vAlign w:val="center"/>
          </w:tcPr>
          <w:p w14:paraId="4C275A9E" w14:textId="77777777" w:rsidR="00AC1BE0" w:rsidRPr="000F3325" w:rsidRDefault="00AC1BE0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  <w:tr w:rsidR="00AC1BE0" w:rsidRPr="000F3325" w14:paraId="796E0AE5" w14:textId="77777777" w:rsidTr="00472120">
        <w:trPr>
          <w:trHeight w:val="690"/>
        </w:trPr>
        <w:tc>
          <w:tcPr>
            <w:tcW w:w="5566" w:type="dxa"/>
            <w:vAlign w:val="center"/>
          </w:tcPr>
          <w:p w14:paraId="6354D877" w14:textId="77777777" w:rsidR="00AC1BE0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Gwarancja </w:t>
            </w:r>
          </w:p>
          <w:p w14:paraId="4901433E" w14:textId="77777777" w:rsidR="00AC1BE0" w:rsidRPr="000F3325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Punktowana</w:t>
            </w:r>
            <w:r w:rsidRPr="000F3325">
              <w:rPr>
                <w:rFonts w:eastAsia="Arial"/>
                <w:b/>
              </w:rPr>
              <w:t xml:space="preserve">: </w:t>
            </w:r>
            <w:r w:rsidRPr="000F3325">
              <w:rPr>
                <w:rFonts w:eastAsia="Arial"/>
                <w:bCs/>
                <w:i/>
                <w:iCs/>
              </w:rPr>
              <w:t xml:space="preserve">  </w:t>
            </w:r>
            <w:r w:rsidRPr="004A0DB3">
              <w:rPr>
                <w:rFonts w:eastAsia="Arial"/>
                <w:b/>
                <w:bCs/>
                <w:iCs/>
              </w:rPr>
              <w:t>24</w:t>
            </w:r>
            <w:r w:rsidRPr="004A0DB3">
              <w:rPr>
                <w:rFonts w:eastAsia="Arial"/>
                <w:b/>
              </w:rPr>
              <w:t xml:space="preserve"> miesięcy</w:t>
            </w:r>
          </w:p>
        </w:tc>
        <w:tc>
          <w:tcPr>
            <w:tcW w:w="2195" w:type="dxa"/>
            <w:vAlign w:val="center"/>
          </w:tcPr>
          <w:p w14:paraId="507D7E95" w14:textId="77777777" w:rsidR="00AC1BE0" w:rsidRPr="000F3325" w:rsidRDefault="00AC1BE0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</w:tbl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B6BC0E" w14:textId="77777777" w:rsidR="00AD2ED8" w:rsidRPr="00AC1BE0" w:rsidRDefault="00AD2ED8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D2572E" w14:textId="4F8E21EA" w:rsidR="00F37588" w:rsidRPr="00AD2ED8" w:rsidRDefault="00F37588" w:rsidP="00F37588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7588">
        <w:rPr>
          <w:rFonts w:ascii="Times New Roman" w:hAnsi="Times New Roman"/>
          <w:b/>
          <w:sz w:val="24"/>
          <w:szCs w:val="24"/>
        </w:rPr>
        <w:lastRenderedPageBreak/>
        <w:t>Termin reakcji</w:t>
      </w:r>
      <w:r w:rsidR="00AC1BE0" w:rsidRPr="00F37588">
        <w:rPr>
          <w:rFonts w:ascii="Times New Roman" w:hAnsi="Times New Roman"/>
          <w:b/>
          <w:sz w:val="24"/>
          <w:szCs w:val="24"/>
        </w:rPr>
        <w:t xml:space="preserve"> od złożenia zlecenia</w:t>
      </w:r>
      <w:r w:rsidR="00AD2ED8">
        <w:rPr>
          <w:rFonts w:ascii="Times New Roman" w:hAnsi="Times New Roman"/>
          <w:b/>
          <w:sz w:val="24"/>
          <w:szCs w:val="24"/>
        </w:rPr>
        <w:t xml:space="preserve"> (T) </w:t>
      </w:r>
      <w:r w:rsidR="00AD2ED8" w:rsidRPr="000F3325">
        <w:rPr>
          <w:rFonts w:ascii="Times New Roman" w:hAnsi="Times New Roman"/>
          <w:b/>
          <w:sz w:val="24"/>
          <w:szCs w:val="24"/>
        </w:rPr>
        <w:t>–</w:t>
      </w:r>
      <w:r w:rsidR="00AD2ED8">
        <w:rPr>
          <w:rFonts w:ascii="Times New Roman" w:hAnsi="Times New Roman"/>
          <w:b/>
          <w:sz w:val="24"/>
          <w:szCs w:val="24"/>
        </w:rPr>
        <w:t xml:space="preserve"> Waga Kryterium - </w:t>
      </w:r>
      <w:r w:rsidR="00AC1BE0" w:rsidRPr="00F37588">
        <w:rPr>
          <w:rFonts w:ascii="Times New Roman" w:hAnsi="Times New Roman"/>
          <w:b/>
          <w:sz w:val="24"/>
          <w:szCs w:val="24"/>
        </w:rPr>
        <w:t>20%</w:t>
      </w:r>
      <w:r w:rsidR="00AC1BE0" w:rsidRPr="00F3758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134"/>
      </w:tblGrid>
      <w:tr w:rsidR="00F37588" w:rsidRPr="000F3325" w14:paraId="61B017B4" w14:textId="77777777" w:rsidTr="00F37588">
        <w:trPr>
          <w:trHeight w:val="690"/>
        </w:trPr>
        <w:tc>
          <w:tcPr>
            <w:tcW w:w="8222" w:type="dxa"/>
            <w:vAlign w:val="center"/>
          </w:tcPr>
          <w:p w14:paraId="5FE3DC80" w14:textId="707D2E34" w:rsidR="00F37588" w:rsidRPr="000F3325" w:rsidRDefault="00F37588" w:rsidP="00F37588">
            <w:pPr>
              <w:spacing w:before="60" w:after="60"/>
              <w:ind w:left="139" w:firstLine="3"/>
              <w:jc w:val="both"/>
              <w:rPr>
                <w:rFonts w:eastAsia="Arial"/>
                <w:b/>
              </w:rPr>
            </w:pPr>
            <w:r w:rsidRPr="00F37588">
              <w:rPr>
                <w:color w:val="000000"/>
              </w:rPr>
              <w:t xml:space="preserve">zapewnienie  całodobowej   dyspozycyjności   do  wykonania  robót </w:t>
            </w:r>
            <w:r>
              <w:rPr>
                <w:color w:val="000000"/>
              </w:rPr>
              <w:t xml:space="preserve"> awaryjnych   (tj. </w:t>
            </w:r>
            <w:r w:rsidRPr="00F37588">
              <w:rPr>
                <w:color w:val="000000"/>
              </w:rPr>
              <w:t xml:space="preserve">usunięcie ubytków, </w:t>
            </w:r>
            <w:r w:rsidRPr="00F37588">
              <w:rPr>
                <w:color w:val="000000"/>
                <w:spacing w:val="3"/>
              </w:rPr>
              <w:t xml:space="preserve">zapadlisk, pęknięć i innych uszkodzeń w nawierzchniach dróg i ulic powodujących zagrożenie dla </w:t>
            </w:r>
            <w:r w:rsidRPr="00F37588">
              <w:rPr>
                <w:color w:val="000000"/>
                <w:spacing w:val="-1"/>
              </w:rPr>
              <w:t xml:space="preserve">bezpieczeństwa i </w:t>
            </w:r>
            <w:r>
              <w:rPr>
                <w:color w:val="000000"/>
                <w:spacing w:val="-1"/>
              </w:rPr>
              <w:t xml:space="preserve">płynności </w:t>
            </w:r>
            <w:r w:rsidRPr="00F37588">
              <w:rPr>
                <w:color w:val="000000"/>
                <w:spacing w:val="-1"/>
              </w:rPr>
              <w:t xml:space="preserve">ruchu  drogowego, wymagających  niezwłocznego </w:t>
            </w:r>
            <w:r w:rsidRPr="00F37588">
              <w:rPr>
                <w:color w:val="000000"/>
              </w:rPr>
              <w:t xml:space="preserve">przystąpienia do robót) polegającej na zabezpieczeniu i oznakowaniu miejsca awarii w czasie </w:t>
            </w:r>
            <w:r w:rsidRPr="00F37588">
              <w:rPr>
                <w:b/>
                <w:color w:val="000000"/>
              </w:rPr>
              <w:t>120 minut</w:t>
            </w:r>
            <w:r w:rsidRPr="00F37588">
              <w:rPr>
                <w:color w:val="000000"/>
              </w:rPr>
              <w:t xml:space="preserve"> </w:t>
            </w:r>
            <w:r w:rsidRPr="00F37588">
              <w:rPr>
                <w:color w:val="000000"/>
                <w:spacing w:val="2"/>
              </w:rPr>
              <w:t xml:space="preserve">od momentu zgłoszenia telefonicznego i przystąpienia do usunięcia awarii w czasie </w:t>
            </w:r>
            <w:r w:rsidRPr="00F37588">
              <w:rPr>
                <w:b/>
                <w:color w:val="000000"/>
                <w:spacing w:val="2"/>
              </w:rPr>
              <w:t>24 godz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vAlign w:val="center"/>
          </w:tcPr>
          <w:p w14:paraId="438F0B44" w14:textId="77777777" w:rsidR="00F37588" w:rsidRPr="000F3325" w:rsidRDefault="00F37588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F37588" w:rsidRPr="000F3325" w14:paraId="188206EC" w14:textId="77777777" w:rsidTr="00F37588">
        <w:trPr>
          <w:trHeight w:val="690"/>
        </w:trPr>
        <w:tc>
          <w:tcPr>
            <w:tcW w:w="8222" w:type="dxa"/>
            <w:vAlign w:val="center"/>
          </w:tcPr>
          <w:p w14:paraId="3FC8D759" w14:textId="7A7C486E" w:rsidR="00F37588" w:rsidRPr="000F3325" w:rsidRDefault="00F37588" w:rsidP="00F37588">
            <w:pPr>
              <w:spacing w:before="60" w:after="60"/>
              <w:ind w:left="110" w:firstLine="3"/>
              <w:jc w:val="both"/>
              <w:rPr>
                <w:rFonts w:eastAsia="Arial"/>
                <w:b/>
              </w:rPr>
            </w:pPr>
            <w:r w:rsidRPr="00F37588">
              <w:rPr>
                <w:color w:val="000000"/>
              </w:rPr>
              <w:t xml:space="preserve">zapewnienie  całodobowej   dyspozycyjności   do  wykonania  robót </w:t>
            </w:r>
            <w:r>
              <w:rPr>
                <w:color w:val="000000"/>
              </w:rPr>
              <w:t xml:space="preserve"> awaryjnych   (tj. </w:t>
            </w:r>
            <w:r w:rsidRPr="00F37588">
              <w:rPr>
                <w:color w:val="000000"/>
              </w:rPr>
              <w:t xml:space="preserve">usunięcie ubytków, </w:t>
            </w:r>
            <w:r w:rsidRPr="00F37588">
              <w:rPr>
                <w:color w:val="000000"/>
                <w:spacing w:val="3"/>
              </w:rPr>
              <w:t xml:space="preserve">zapadlisk, pęknięć i innych uszkodzeń w nawierzchniach dróg i ulic powodujących zagrożenie dla </w:t>
            </w:r>
            <w:r w:rsidRPr="00F37588">
              <w:rPr>
                <w:color w:val="000000"/>
                <w:spacing w:val="-1"/>
              </w:rPr>
              <w:t xml:space="preserve">bezpieczeństwa i </w:t>
            </w:r>
            <w:r>
              <w:rPr>
                <w:color w:val="000000"/>
                <w:spacing w:val="-1"/>
              </w:rPr>
              <w:t xml:space="preserve">płynności </w:t>
            </w:r>
            <w:r w:rsidRPr="00F37588">
              <w:rPr>
                <w:color w:val="000000"/>
                <w:spacing w:val="-1"/>
              </w:rPr>
              <w:t xml:space="preserve">ruchu  drogowego, wymagających  niezwłocznego </w:t>
            </w:r>
            <w:r w:rsidRPr="00F37588">
              <w:rPr>
                <w:color w:val="000000"/>
              </w:rPr>
              <w:t xml:space="preserve">przystąpienia do robót) polegającej na zabezpieczeniu i oznakowaniu miejsca awarii w czasie </w:t>
            </w:r>
            <w:r w:rsidRPr="00F37588">
              <w:rPr>
                <w:b/>
                <w:color w:val="000000"/>
              </w:rPr>
              <w:t>90 minut</w:t>
            </w:r>
            <w:r w:rsidRPr="00F37588">
              <w:rPr>
                <w:color w:val="000000"/>
              </w:rPr>
              <w:t xml:space="preserve"> </w:t>
            </w:r>
            <w:r w:rsidRPr="00F37588">
              <w:rPr>
                <w:color w:val="000000"/>
                <w:spacing w:val="2"/>
              </w:rPr>
              <w:t xml:space="preserve">od momentu zgłoszenia telefonicznego i przystąpienia do usunięcia awarii w czasie </w:t>
            </w:r>
            <w:r w:rsidRPr="00F37588">
              <w:rPr>
                <w:b/>
                <w:color w:val="000000"/>
                <w:spacing w:val="2"/>
              </w:rPr>
              <w:t>18 godz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vAlign w:val="center"/>
          </w:tcPr>
          <w:p w14:paraId="16FA39A4" w14:textId="77777777" w:rsidR="00F37588" w:rsidRPr="000F3325" w:rsidRDefault="00F37588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  <w:tr w:rsidR="00F37588" w:rsidRPr="000F3325" w14:paraId="08B6B4A3" w14:textId="77777777" w:rsidTr="00F37588">
        <w:trPr>
          <w:trHeight w:val="690"/>
        </w:trPr>
        <w:tc>
          <w:tcPr>
            <w:tcW w:w="8222" w:type="dxa"/>
            <w:vAlign w:val="center"/>
          </w:tcPr>
          <w:p w14:paraId="554DC403" w14:textId="23796217" w:rsidR="00F37588" w:rsidRPr="000F3325" w:rsidRDefault="00F37588" w:rsidP="00F37588">
            <w:pPr>
              <w:spacing w:before="60" w:after="60"/>
              <w:ind w:left="110" w:firstLine="3"/>
              <w:jc w:val="both"/>
              <w:rPr>
                <w:rFonts w:eastAsia="Arial"/>
                <w:b/>
              </w:rPr>
            </w:pPr>
            <w:r w:rsidRPr="00F37588">
              <w:rPr>
                <w:color w:val="000000"/>
              </w:rPr>
              <w:t xml:space="preserve">zapewnienie  całodobowej   dyspozycyjności   do  wykonania  robót </w:t>
            </w:r>
            <w:r>
              <w:rPr>
                <w:color w:val="000000"/>
              </w:rPr>
              <w:t xml:space="preserve"> awaryjnych   (tj. </w:t>
            </w:r>
            <w:r w:rsidRPr="00F37588">
              <w:rPr>
                <w:color w:val="000000"/>
              </w:rPr>
              <w:t xml:space="preserve">usunięcie ubytków, </w:t>
            </w:r>
            <w:r w:rsidRPr="00F37588">
              <w:rPr>
                <w:color w:val="000000"/>
                <w:spacing w:val="3"/>
              </w:rPr>
              <w:t xml:space="preserve">zapadlisk, pęknięć i innych uszkodzeń w nawierzchniach dróg i ulic powodujących zagrożenie dla </w:t>
            </w:r>
            <w:r w:rsidRPr="00F37588">
              <w:rPr>
                <w:color w:val="000000"/>
                <w:spacing w:val="-1"/>
              </w:rPr>
              <w:t xml:space="preserve">bezpieczeństwa i </w:t>
            </w:r>
            <w:r>
              <w:rPr>
                <w:color w:val="000000"/>
                <w:spacing w:val="-1"/>
              </w:rPr>
              <w:t xml:space="preserve">płynności </w:t>
            </w:r>
            <w:r w:rsidRPr="00F37588">
              <w:rPr>
                <w:color w:val="000000"/>
                <w:spacing w:val="-1"/>
              </w:rPr>
              <w:t xml:space="preserve">ruchu  drogowego, wymagających  niezwłocznego </w:t>
            </w:r>
            <w:r w:rsidRPr="00F37588">
              <w:rPr>
                <w:color w:val="000000"/>
              </w:rPr>
              <w:t xml:space="preserve">przystąpienia do robót) polegającej na zabezpieczeniu i oznakowaniu miejsca awarii w czasie </w:t>
            </w:r>
            <w:r w:rsidRPr="00C37A61">
              <w:rPr>
                <w:b/>
                <w:color w:val="000000"/>
              </w:rPr>
              <w:t>60</w:t>
            </w:r>
            <w:r w:rsidRPr="00F37588">
              <w:rPr>
                <w:b/>
                <w:color w:val="000000"/>
              </w:rPr>
              <w:t xml:space="preserve"> minut</w:t>
            </w:r>
            <w:r w:rsidRPr="00F37588">
              <w:rPr>
                <w:color w:val="000000"/>
              </w:rPr>
              <w:t xml:space="preserve"> </w:t>
            </w:r>
            <w:r w:rsidRPr="00F37588">
              <w:rPr>
                <w:color w:val="000000"/>
                <w:spacing w:val="2"/>
              </w:rPr>
              <w:t xml:space="preserve">od momentu zgłoszenia telefonicznego i przystąpienia do usunięcia awarii w czasie </w:t>
            </w:r>
            <w:r w:rsidRPr="00F37588">
              <w:rPr>
                <w:b/>
                <w:color w:val="000000"/>
                <w:spacing w:val="2"/>
              </w:rPr>
              <w:t>1</w:t>
            </w:r>
            <w:r>
              <w:rPr>
                <w:b/>
                <w:color w:val="000000"/>
                <w:spacing w:val="2"/>
              </w:rPr>
              <w:t>2</w:t>
            </w:r>
            <w:r w:rsidRPr="00F37588">
              <w:rPr>
                <w:b/>
                <w:color w:val="000000"/>
                <w:spacing w:val="2"/>
              </w:rPr>
              <w:t xml:space="preserve"> godz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vAlign w:val="center"/>
          </w:tcPr>
          <w:p w14:paraId="23658547" w14:textId="77777777" w:rsidR="00F37588" w:rsidRPr="000F3325" w:rsidRDefault="00F37588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</w:tbl>
    <w:p w14:paraId="0CBE1A69" w14:textId="77777777" w:rsidR="00AC1BE0" w:rsidRPr="00AD2ED8" w:rsidRDefault="00AC1BE0" w:rsidP="00AD2ED8">
      <w:pPr>
        <w:suppressAutoHyphens/>
        <w:spacing w:before="60" w:after="60"/>
        <w:jc w:val="both"/>
        <w:rPr>
          <w:b/>
          <w:u w:val="single"/>
        </w:rPr>
      </w:pPr>
    </w:p>
    <w:p w14:paraId="6E2C7635" w14:textId="4E9A87FB" w:rsidR="00E943BF" w:rsidRPr="000F3325" w:rsidRDefault="00E943BF" w:rsidP="00C37A61">
      <w:pPr>
        <w:spacing w:before="60" w:after="60"/>
        <w:rPr>
          <w:rFonts w:eastAsia="Arial"/>
        </w:rPr>
      </w:pPr>
      <w:r w:rsidRPr="000F3325">
        <w:rPr>
          <w:rFonts w:eastAsia="Arial"/>
        </w:rPr>
        <w:t xml:space="preserve">gdzie 1 % = 1 pkt, </w:t>
      </w:r>
    </w:p>
    <w:p w14:paraId="3ABFB3CF" w14:textId="69A30344" w:rsidR="00E943BF" w:rsidRDefault="00E943BF" w:rsidP="00C37A61">
      <w:pPr>
        <w:tabs>
          <w:tab w:val="left" w:pos="900"/>
        </w:tabs>
        <w:autoSpaceDE w:val="0"/>
        <w:autoSpaceDN w:val="0"/>
        <w:adjustRightInd w:val="0"/>
        <w:spacing w:before="60" w:after="60"/>
        <w:rPr>
          <w:bCs/>
        </w:rPr>
      </w:pPr>
      <w:r w:rsidRPr="000F3325">
        <w:rPr>
          <w:bCs/>
        </w:rPr>
        <w:t xml:space="preserve">Odpowiednią ilość punktów otrzyma Wykonawca, który zaoferuje w Formularzu ofertowym termin </w:t>
      </w:r>
      <w:r w:rsidR="00C37A61">
        <w:rPr>
          <w:bCs/>
        </w:rPr>
        <w:t>reakcji od złożenia zlecenia.</w:t>
      </w:r>
    </w:p>
    <w:p w14:paraId="1A4B80B4" w14:textId="77777777" w:rsidR="004A0DB3" w:rsidRPr="004A0DB3" w:rsidRDefault="004A0DB3" w:rsidP="004A0DB3">
      <w:pPr>
        <w:ind w:left="360"/>
        <w:jc w:val="both"/>
        <w:rPr>
          <w:b/>
          <w:bCs/>
        </w:rPr>
      </w:pPr>
    </w:p>
    <w:p w14:paraId="26A3DEB9" w14:textId="1637501D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9165C50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D726AF">
        <w:rPr>
          <w:b/>
        </w:rPr>
        <w:t>18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02445F4A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D726AF">
        <w:rPr>
          <w:b/>
        </w:rPr>
        <w:t>18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lastRenderedPageBreak/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2934804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D726AF" w:rsidRPr="00D726AF">
        <w:rPr>
          <w:b/>
        </w:rPr>
        <w:t>17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 xml:space="preserve">Jeżeli Wykonawca, którego oferta została wybrana jako najkorzystniejsza, uchyla się od zawarcia umowy w sprawie zamówienia publicznego Zamawiający może dokonać ponownego </w:t>
      </w:r>
      <w:r w:rsidRPr="000F3325">
        <w:rPr>
          <w:noProof/>
        </w:rPr>
        <w:lastRenderedPageBreak/>
        <w:t>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58C37BAA" w14:textId="28BEF2A3" w:rsidR="008A34EE" w:rsidRPr="000F3325" w:rsidRDefault="00D17A4D" w:rsidP="00DE704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t xml:space="preserve">Jako odrębny </w:t>
      </w:r>
      <w:r w:rsidRPr="000F3325">
        <w:rPr>
          <w:u w:val="single"/>
        </w:rPr>
        <w:t xml:space="preserve">Załącznik nr </w:t>
      </w:r>
      <w:r w:rsidR="00935D0C" w:rsidRPr="000F3325">
        <w:rPr>
          <w:u w:val="single"/>
        </w:rPr>
        <w:t>2</w:t>
      </w:r>
      <w:r w:rsidRPr="000F3325">
        <w:t xml:space="preserve"> do SWZ Zamawiający zamieścił </w:t>
      </w:r>
      <w:r w:rsidR="00E345A9" w:rsidRPr="000F3325">
        <w:t>wzór</w:t>
      </w:r>
      <w:r w:rsidRPr="000F3325">
        <w:t xml:space="preserve"> umowy, która określa warunki umowne realizacji przedmiotowego zamówienia publicznego.</w:t>
      </w:r>
    </w:p>
    <w:p w14:paraId="37E5FA5A" w14:textId="4EC175D5" w:rsidR="00E75FFA" w:rsidRPr="000F3325" w:rsidRDefault="00DE7049" w:rsidP="00E75FF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rPr>
          <w:spacing w:val="2"/>
        </w:rPr>
        <w:t xml:space="preserve">Zamawiający przewiduje możliwość zmiany zawartej umowy w stosunku do treści wybranej oferty w zakresie uregulowanym w art. 454-455 </w:t>
      </w:r>
      <w:proofErr w:type="spellStart"/>
      <w:r w:rsidRPr="000F3325">
        <w:rPr>
          <w:spacing w:val="2"/>
        </w:rPr>
        <w:t>uPzp</w:t>
      </w:r>
      <w:proofErr w:type="spellEnd"/>
      <w:r w:rsidRPr="000F3325">
        <w:rPr>
          <w:spacing w:val="2"/>
        </w:rPr>
        <w:t>,</w:t>
      </w:r>
      <w:r w:rsidR="009C7A9D" w:rsidRPr="000F3325">
        <w:rPr>
          <w:spacing w:val="2"/>
        </w:rPr>
        <w:t xml:space="preserve"> </w:t>
      </w:r>
      <w:r w:rsidRPr="000F3325">
        <w:rPr>
          <w:spacing w:val="2"/>
        </w:rPr>
        <w:t xml:space="preserve">we wskazanym we Wzorze Umowy </w:t>
      </w:r>
      <w:r w:rsidR="005F5457" w:rsidRPr="000F3325">
        <w:t>oraz przewiduje następujące aneksy:</w:t>
      </w:r>
    </w:p>
    <w:p w14:paraId="26C2C04E" w14:textId="77777777" w:rsidR="00E75FFA" w:rsidRPr="000F3325" w:rsidRDefault="005F5457" w:rsidP="00E75FFA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aneks cenowy dopuszczający obniżenie ceny za dany przedmiot zamówienia. Zamawiający na pisemny wniosek Wykonawcy, w uzasadnionych przypadkach, dopuszcza obniżenie ceny ofertowej spowodowanej np. korzystnymi zmianami kursu waluty.</w:t>
      </w:r>
    </w:p>
    <w:p w14:paraId="3DC1ED46" w14:textId="69C7E5F8" w:rsidR="0091505F" w:rsidRPr="000F3325" w:rsidRDefault="005F5457" w:rsidP="00AD2ED8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zmiany terminu wykonania zamówienia ze względu na organizacyjną działalność Zamawiającego lub inne nie dające  się  przewidzieć przyczyny o charakterze obiektywnym.</w:t>
      </w:r>
      <w:r w:rsidR="007B617A" w:rsidRPr="000F3325"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34CE560D" w:rsidR="004B14A0" w:rsidRPr="00AD2ED8" w:rsidRDefault="00115E73" w:rsidP="00AD2ED8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5C1D" w14:textId="77777777" w:rsidR="00EF5DCE" w:rsidRDefault="00EF5DCE">
      <w:r>
        <w:separator/>
      </w:r>
    </w:p>
  </w:endnote>
  <w:endnote w:type="continuationSeparator" w:id="0">
    <w:p w14:paraId="5A744786" w14:textId="77777777" w:rsidR="00EF5DCE" w:rsidRDefault="00EF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472120" w:rsidRDefault="0047212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472120" w:rsidRPr="0001779D" w:rsidRDefault="00472120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4030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472120" w:rsidRPr="0001779D" w:rsidRDefault="00472120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4030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750630D" w:rsidR="00472120" w:rsidRPr="00BF4EBD" w:rsidRDefault="00472120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4.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34030E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5ADB7" w14:textId="77777777" w:rsidR="00EF5DCE" w:rsidRDefault="00EF5DCE">
      <w:r>
        <w:separator/>
      </w:r>
    </w:p>
  </w:footnote>
  <w:footnote w:type="continuationSeparator" w:id="0">
    <w:p w14:paraId="0593CB28" w14:textId="77777777" w:rsidR="00EF5DCE" w:rsidRDefault="00EF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472120" w:rsidRPr="00BF4EBD" w:rsidRDefault="00472120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2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7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36"/>
  </w:num>
  <w:num w:numId="5">
    <w:abstractNumId w:val="29"/>
  </w:num>
  <w:num w:numId="6">
    <w:abstractNumId w:val="20"/>
  </w:num>
  <w:num w:numId="7">
    <w:abstractNumId w:val="26"/>
  </w:num>
  <w:num w:numId="8">
    <w:abstractNumId w:val="8"/>
  </w:num>
  <w:num w:numId="9">
    <w:abstractNumId w:val="16"/>
  </w:num>
  <w:num w:numId="10">
    <w:abstractNumId w:val="31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37"/>
  </w:num>
  <w:num w:numId="14">
    <w:abstractNumId w:val="7"/>
  </w:num>
  <w:num w:numId="15">
    <w:abstractNumId w:val="33"/>
  </w:num>
  <w:num w:numId="16">
    <w:abstractNumId w:val="13"/>
  </w:num>
  <w:num w:numId="17">
    <w:abstractNumId w:val="18"/>
  </w:num>
  <w:num w:numId="18">
    <w:abstractNumId w:val="15"/>
  </w:num>
  <w:num w:numId="19">
    <w:abstractNumId w:val="10"/>
  </w:num>
  <w:num w:numId="20">
    <w:abstractNumId w:val="5"/>
  </w:num>
  <w:num w:numId="21">
    <w:abstractNumId w:val="21"/>
  </w:num>
  <w:num w:numId="22">
    <w:abstractNumId w:val="30"/>
  </w:num>
  <w:num w:numId="23">
    <w:abstractNumId w:val="28"/>
  </w:num>
  <w:num w:numId="24">
    <w:abstractNumId w:val="22"/>
  </w:num>
  <w:num w:numId="25">
    <w:abstractNumId w:val="11"/>
  </w:num>
  <w:num w:numId="26">
    <w:abstractNumId w:val="35"/>
  </w:num>
  <w:num w:numId="27">
    <w:abstractNumId w:val="38"/>
  </w:num>
  <w:num w:numId="28">
    <w:abstractNumId w:val="32"/>
  </w:num>
  <w:num w:numId="29">
    <w:abstractNumId w:val="4"/>
  </w:num>
  <w:num w:numId="30">
    <w:abstractNumId w:val="6"/>
  </w:num>
  <w:num w:numId="31">
    <w:abstractNumId w:val="27"/>
  </w:num>
  <w:num w:numId="32">
    <w:abstractNumId w:val="23"/>
  </w:num>
  <w:num w:numId="33">
    <w:abstractNumId w:val="9"/>
  </w:num>
  <w:num w:numId="34">
    <w:abstractNumId w:val="39"/>
  </w:num>
  <w:num w:numId="35">
    <w:abstractNumId w:val="12"/>
  </w:num>
  <w:num w:numId="36">
    <w:abstractNumId w:val="25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3E41-C438-42AE-8E80-EA1EBF8A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7861</Words>
  <Characters>47170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20</cp:revision>
  <cp:lastPrinted>2021-03-04T13:52:00Z</cp:lastPrinted>
  <dcterms:created xsi:type="dcterms:W3CDTF">2021-02-09T11:30:00Z</dcterms:created>
  <dcterms:modified xsi:type="dcterms:W3CDTF">2021-03-04T13:52:00Z</dcterms:modified>
</cp:coreProperties>
</file>