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5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8D6FC1" w:rsidRPr="00E054BA" w14:paraId="22025455" w14:textId="77777777" w:rsidTr="008D6FC1">
        <w:trPr>
          <w:trHeight w:val="256"/>
        </w:trPr>
        <w:tc>
          <w:tcPr>
            <w:tcW w:w="9733" w:type="dxa"/>
            <w:shd w:val="clear" w:color="auto" w:fill="E3E8ED"/>
          </w:tcPr>
          <w:p w14:paraId="37C35021" w14:textId="77777777" w:rsidR="008D6FC1" w:rsidRPr="00E054BA" w:rsidRDefault="008D6FC1" w:rsidP="008D6FC1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AE5E617" w14:textId="77777777" w:rsidR="008D6FC1" w:rsidRPr="00E054BA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40B8F3F8" w14:textId="77777777" w:rsidR="008D6FC1" w:rsidRPr="00E054BA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1274555A" w14:textId="03760064" w:rsidR="008D6FC1" w:rsidRPr="007E40E1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E40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7E40E1" w:rsidRPr="007E40E1">
              <w:rPr>
                <w:rFonts w:cs="72 Black"/>
                <w:b/>
                <w:bCs/>
                <w:sz w:val="24"/>
                <w:szCs w:val="24"/>
              </w:rPr>
              <w:t>zasilaczy</w:t>
            </w:r>
            <w:r w:rsidRPr="007E40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13FB1286" w14:textId="0C54E2F3" w:rsidR="008D6FC1" w:rsidRPr="000B7668" w:rsidRDefault="008D6FC1" w:rsidP="008D6FC1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7E40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104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</w:tc>
      </w:tr>
    </w:tbl>
    <w:p w14:paraId="24675535" w14:textId="77777777" w:rsidR="0092079A" w:rsidRPr="00E71C6D" w:rsidRDefault="0092079A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FE55A6F" w14:textId="77777777" w:rsidR="0092079A" w:rsidRDefault="0092079A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798F13CD" w14:textId="7777777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084B1814" w14:textId="77777777" w:rsidR="004C4922" w:rsidRPr="00066E3B" w:rsidRDefault="004C4922" w:rsidP="004C4922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66E3B">
        <w:rPr>
          <w:rFonts w:eastAsia="Calibri" w:cs="Arial"/>
          <w:b/>
          <w:szCs w:val="20"/>
          <w:lang w:eastAsia="pl-PL"/>
        </w:rPr>
        <w:t>Zatwierdzam:</w:t>
      </w:r>
    </w:p>
    <w:p w14:paraId="43E768B8" w14:textId="77777777" w:rsidR="004C4922" w:rsidRDefault="004C4922" w:rsidP="004C4922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1FA93030" w14:textId="77777777" w:rsidR="004C4922" w:rsidRPr="007011BB" w:rsidRDefault="004C4922" w:rsidP="004C4922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         </w:t>
      </w:r>
      <w:r w:rsidRPr="007011B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38AA7702" w14:textId="77777777" w:rsidR="004C4922" w:rsidRPr="007011BB" w:rsidRDefault="004C4922" w:rsidP="004C4922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7EA44BD5" w14:textId="77777777" w:rsidR="004C4922" w:rsidRDefault="004C4922" w:rsidP="004C4922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5841D975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47A65BFE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05B38135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418F7035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78FD8325" w14:textId="2D7FB4AA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1742B042" w14:textId="747086ED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1BF51FB8" w14:textId="7FFE2ED9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5558406E" w14:textId="35AC90B5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383833F1" w14:textId="5F2D6344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6B4602D0" w14:textId="77E6E0F7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6F516A39" w14:textId="21650EB6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3CF2154A" w14:textId="2E278210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3CB572E9" w14:textId="180618FB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3CF921D6" w14:textId="3C93E19D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104319D5" w14:textId="7942B307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0EDB0BA8" w14:textId="045AE61B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2E3A4485" w14:textId="0C636A53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5CF2BAFB" w14:textId="66FC1E4D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7123581F" w14:textId="77777777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03BB2F52" w14:textId="3F1316B6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5A5B0740" w14:textId="77777777" w:rsidR="004C4922" w:rsidRDefault="004C4922" w:rsidP="004C1290">
      <w:pPr>
        <w:jc w:val="center"/>
        <w:rPr>
          <w:rFonts w:eastAsia="Calibri" w:cs="Arial"/>
          <w:szCs w:val="20"/>
          <w:lang w:eastAsia="pl-PL"/>
        </w:rPr>
      </w:pPr>
    </w:p>
    <w:p w14:paraId="14784606" w14:textId="77777777" w:rsidR="008D6FC1" w:rsidRDefault="008D6FC1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27C05CF3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DC27DF">
        <w:rPr>
          <w:rFonts w:eastAsia="Calibri" w:cs="Arial"/>
          <w:szCs w:val="20"/>
          <w:lang w:eastAsia="pl-PL"/>
        </w:rPr>
        <w:t>listopad</w:t>
      </w:r>
      <w:r w:rsidR="008D6FC1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0D558A36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70019C72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2B01B16C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2A68E7D0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6010ADB9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504B5A54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2B5A8362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4BE4D348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D4C6091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42E9A1B5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0652B71F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2FB2D0AB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5753D913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49379DC1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689EEAED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FF6D99C" w:rsidR="000C5435" w:rsidRPr="000C5435" w:rsidRDefault="0089529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A331F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222B449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BA2090">
        <w:rPr>
          <w:rFonts w:cs="Arial"/>
          <w:szCs w:val="20"/>
        </w:rPr>
        <w:t>A-</w:t>
      </w:r>
      <w:r w:rsidR="006375F6">
        <w:rPr>
          <w:rFonts w:cs="Arial"/>
          <w:szCs w:val="20"/>
        </w:rPr>
        <w:t>C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4BD6B1CF" w:rsidR="0026325C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2707B7">
        <w:rPr>
          <w:rFonts w:cs="Arial"/>
          <w:szCs w:val="20"/>
        </w:rPr>
        <w:t>3</w:t>
      </w:r>
    </w:p>
    <w:p w14:paraId="06701D5B" w14:textId="77777777" w:rsidR="002707B7" w:rsidRPr="00095684" w:rsidRDefault="002707B7" w:rsidP="002707B7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A80B1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66FADF8E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13E8D9DE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CB9FC19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>,</w:t>
      </w:r>
    </w:p>
    <w:p w14:paraId="74F8A23E" w14:textId="6B3F93E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1A51EEF7" w:rsidR="00243910" w:rsidRDefault="00384DA3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922B13" w:rsidRPr="00922B13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566A6087" w:rsidR="000E5D19" w:rsidRPr="00F37AF3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2707B7" w:rsidRPr="002707B7">
        <w:rPr>
          <w:rFonts w:eastAsia="Calibri"/>
          <w:b/>
        </w:rPr>
        <w:t xml:space="preserve">Dostawa </w:t>
      </w:r>
      <w:r w:rsidR="00E455A9">
        <w:rPr>
          <w:rFonts w:eastAsia="Calibri"/>
          <w:b/>
        </w:rPr>
        <w:t>zasilaczy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2679A814" w:rsidR="00467620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E455A9">
        <w:rPr>
          <w:b/>
        </w:rPr>
        <w:t>104</w:t>
      </w:r>
      <w:r w:rsidR="00095684">
        <w:rPr>
          <w:b/>
        </w:rPr>
        <w:t>.</w:t>
      </w:r>
      <w:r w:rsidR="00392924">
        <w:rPr>
          <w:b/>
        </w:rPr>
        <w:t>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  <w:r w:rsidR="002707B7">
        <w:t xml:space="preserve"> </w:t>
      </w:r>
    </w:p>
    <w:p w14:paraId="25BA7B4D" w14:textId="77777777" w:rsidR="002707B7" w:rsidRPr="002707B7" w:rsidRDefault="002707B7" w:rsidP="002707B7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A80B1D">
      <w:pPr>
        <w:pStyle w:val="Nagwek1"/>
        <w:widowControl w:val="0"/>
        <w:spacing w:before="0"/>
      </w:pPr>
      <w:bookmarkStart w:id="6" w:name="_Toc375581633"/>
      <w:bookmarkStart w:id="7" w:name="_Toc375581815"/>
      <w:bookmarkStart w:id="8" w:name="_Toc375582132"/>
      <w:bookmarkStart w:id="9" w:name="_Toc99351179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F34343" w:rsidRDefault="00F85C46" w:rsidP="00A80B1D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696B4C50" w:rsidR="00CD4EBF" w:rsidRPr="00CD4EBF" w:rsidRDefault="004C589D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957E8C">
        <w:rPr>
          <w:rFonts w:cs="Arial"/>
          <w:b/>
          <w:bCs/>
          <w:szCs w:val="20"/>
          <w:lang w:eastAsia="pl-PL"/>
        </w:rPr>
        <w:t>zasilaczy</w:t>
      </w:r>
      <w:r w:rsidR="00631E8A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6375F6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</w:t>
      </w:r>
      <w:r w:rsidR="003A4197">
        <w:rPr>
          <w:rFonts w:cs="Arial"/>
          <w:bCs/>
          <w:szCs w:val="20"/>
          <w:lang w:eastAsia="pl-PL"/>
        </w:rPr>
        <w:t>u</w:t>
      </w:r>
      <w:r w:rsidR="00CD4EBF" w:rsidRPr="00CD4EBF">
        <w:rPr>
          <w:rFonts w:cs="Arial"/>
          <w:bCs/>
          <w:szCs w:val="20"/>
          <w:lang w:eastAsia="pl-PL"/>
        </w:rPr>
        <w:t xml:space="preserve"> nr 2</w:t>
      </w:r>
      <w:r w:rsidR="00D813F5">
        <w:rPr>
          <w:rFonts w:cs="Arial"/>
          <w:bCs/>
          <w:szCs w:val="20"/>
          <w:lang w:eastAsia="pl-PL"/>
        </w:rPr>
        <w:t>A-</w:t>
      </w:r>
      <w:r w:rsidR="006375F6">
        <w:rPr>
          <w:rFonts w:cs="Arial"/>
          <w:bCs/>
          <w:szCs w:val="20"/>
          <w:lang w:eastAsia="pl-PL"/>
        </w:rPr>
        <w:t>C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3A3459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0FF62374" w:rsidR="00365EA2" w:rsidRDefault="00365EA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17629FD0" w:rsidR="00C34522" w:rsidRPr="00C34522" w:rsidRDefault="00C3452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545B99B7" w:rsidR="002C3360" w:rsidRPr="0068625C" w:rsidRDefault="004C589D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E455A9" w:rsidRPr="00E455A9">
        <w:t>30237280-5</w:t>
      </w:r>
      <w:r w:rsidR="00E455A9">
        <w:t>- akcesoria zasilające</w:t>
      </w:r>
      <w:r w:rsidR="003A3459"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0119BB3F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A81F09">
        <w:rPr>
          <w:lang w:val="pl-PL"/>
        </w:rPr>
        <w:t>A-</w:t>
      </w:r>
      <w:r w:rsidR="006375F6">
        <w:rPr>
          <w:lang w:val="pl-PL"/>
        </w:rPr>
        <w:t>C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53310786" w14:textId="77777777" w:rsidR="007A6B6B" w:rsidRPr="007A6B6B" w:rsidRDefault="007A6B6B" w:rsidP="007A6B6B">
      <w:pPr>
        <w:rPr>
          <w:lang w:val="x-none" w:eastAsia="x-none"/>
        </w:rPr>
      </w:pPr>
    </w:p>
    <w:p w14:paraId="5C3AEFAA" w14:textId="77777777" w:rsidR="006375F6" w:rsidRPr="006375F6" w:rsidRDefault="006375F6" w:rsidP="006375F6">
      <w:pPr>
        <w:rPr>
          <w:lang w:val="x-none" w:eastAsia="x-none"/>
        </w:rPr>
      </w:pPr>
    </w:p>
    <w:p w14:paraId="6C33C598" w14:textId="387138F1" w:rsidR="00822550" w:rsidRDefault="00603309" w:rsidP="005367DE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lastRenderedPageBreak/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5367DE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5367DE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5367DE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01C6C28" w:rsidR="009E363B" w:rsidRDefault="009F79A4" w:rsidP="005367DE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56C7C787" w14:textId="23B69BF9" w:rsidR="00030F89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część A- </w:t>
      </w:r>
      <w:r w:rsidR="006375F6">
        <w:rPr>
          <w:rFonts w:eastAsia="Times New Roman" w:cs="Times New Roman"/>
          <w:bCs/>
          <w:szCs w:val="26"/>
          <w:lang w:eastAsia="x-none"/>
        </w:rPr>
        <w:t>zasilacz do laptopa- 1 szt., zasilacz do komputera- 1 szt.</w:t>
      </w:r>
    </w:p>
    <w:p w14:paraId="2C519555" w14:textId="63218187" w:rsidR="00030F89" w:rsidRPr="000205D5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205D5">
        <w:rPr>
          <w:rFonts w:eastAsia="Times New Roman" w:cs="Times New Roman"/>
          <w:bCs/>
          <w:szCs w:val="26"/>
          <w:lang w:eastAsia="x-none"/>
        </w:rPr>
        <w:t>część B-</w:t>
      </w:r>
      <w:r w:rsidR="00D21504" w:rsidRPr="00D21504">
        <w:t xml:space="preserve"> </w:t>
      </w:r>
      <w:r w:rsidR="006375F6">
        <w:t xml:space="preserve">zasilacz do </w:t>
      </w:r>
      <w:r w:rsidR="009F1E56">
        <w:t>przełącznika sieciowego</w:t>
      </w:r>
      <w:r w:rsidR="006375F6">
        <w:t>- 1 szt.</w:t>
      </w:r>
    </w:p>
    <w:p w14:paraId="42067C2B" w14:textId="7C071401" w:rsidR="00030F89" w:rsidRDefault="00030F89" w:rsidP="005367DE">
      <w:pPr>
        <w:pStyle w:val="Akapitzlist"/>
        <w:widowControl w:val="0"/>
        <w:numPr>
          <w:ilvl w:val="0"/>
          <w:numId w:val="66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0205D5">
        <w:rPr>
          <w:rFonts w:eastAsia="Times New Roman" w:cs="Times New Roman"/>
          <w:bCs/>
          <w:szCs w:val="26"/>
          <w:lang w:eastAsia="x-none"/>
        </w:rPr>
        <w:t>C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="00D21504" w:rsidRPr="00D21504">
        <w:t xml:space="preserve"> </w:t>
      </w:r>
      <w:r w:rsidR="006375F6">
        <w:t xml:space="preserve"> zasilacz awaryjny</w:t>
      </w:r>
      <w:r w:rsidR="00EA331F">
        <w:t>-</w:t>
      </w:r>
      <w:r w:rsidR="006375F6">
        <w:t xml:space="preserve"> 1 szt, zasilacz awaryjny- 1 szt.</w:t>
      </w:r>
    </w:p>
    <w:p w14:paraId="24A8A2CE" w14:textId="77777777" w:rsidR="00A34DB1" w:rsidRDefault="00A34DB1" w:rsidP="005367DE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5367DE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5367DE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06B9A911" w14:textId="76DEDCD0" w:rsidR="000518A0" w:rsidRPr="005367DE" w:rsidRDefault="00F0343C" w:rsidP="005367DE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DE62AB">
        <w:rPr>
          <w:b w:val="0"/>
          <w:color w:val="auto"/>
        </w:rPr>
        <w:t xml:space="preserve">do </w:t>
      </w:r>
      <w:r w:rsidR="007A6B6B">
        <w:rPr>
          <w:b w:val="0"/>
          <w:color w:val="auto"/>
        </w:rPr>
        <w:t>1</w:t>
      </w:r>
      <w:r w:rsidR="00697F7E">
        <w:rPr>
          <w:b w:val="0"/>
          <w:color w:val="auto"/>
        </w:rPr>
        <w:t>1</w:t>
      </w:r>
      <w:r w:rsidR="007A6B6B">
        <w:rPr>
          <w:b w:val="0"/>
          <w:color w:val="auto"/>
        </w:rPr>
        <w:t xml:space="preserve"> </w:t>
      </w:r>
      <w:r w:rsidR="00C96E09" w:rsidRPr="00DE62AB">
        <w:rPr>
          <w:b w:val="0"/>
          <w:color w:val="auto"/>
        </w:rPr>
        <w:t xml:space="preserve">dni </w:t>
      </w:r>
      <w:r w:rsidRPr="00DE62AB">
        <w:rPr>
          <w:b w:val="0"/>
          <w:color w:val="auto"/>
        </w:rPr>
        <w:t xml:space="preserve">od </w:t>
      </w:r>
      <w:r w:rsidR="00DB2334" w:rsidRPr="00DE62AB">
        <w:rPr>
          <w:b w:val="0"/>
          <w:color w:val="auto"/>
        </w:rPr>
        <w:t>zawarcia umowy</w:t>
      </w:r>
      <w:r w:rsidR="00F12854" w:rsidRPr="00DE62AB">
        <w:rPr>
          <w:b w:val="0"/>
          <w:color w:val="auto"/>
        </w:rPr>
        <w:t>.</w:t>
      </w:r>
      <w:r w:rsidR="005367DE">
        <w:rPr>
          <w:b w:val="0"/>
          <w:color w:val="auto"/>
        </w:rPr>
        <w:t xml:space="preserve"> </w:t>
      </w:r>
      <w:r w:rsidR="00E51823" w:rsidRPr="005367DE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5367DE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0D1B15B2" w14:textId="4E86333D" w:rsidR="00F141C6" w:rsidRPr="007A6B6B" w:rsidRDefault="00F85C46" w:rsidP="007A6B6B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5367DE" w:rsidRPr="005367DE">
        <w:t>Uniwersytet Śląski w Katowicach</w:t>
      </w:r>
      <w:r w:rsidR="005367DE">
        <w:t>:</w:t>
      </w:r>
      <w:r w:rsidR="007A6B6B">
        <w:t xml:space="preserve"> </w:t>
      </w:r>
      <w:r w:rsidR="00F141C6" w:rsidRPr="007A6B6B">
        <w:rPr>
          <w:rFonts w:eastAsia="Times New Roman" w:cs="Times New Roman"/>
          <w:bCs/>
          <w:szCs w:val="26"/>
          <w:lang w:eastAsia="x-none"/>
        </w:rPr>
        <w:t>Dział Zarządzania Dostawami, ul. Bankowa 14, pok. 310;</w:t>
      </w:r>
      <w:r w:rsidR="00374E7B" w:rsidRPr="007A6B6B">
        <w:rPr>
          <w:rFonts w:eastAsia="Times New Roman" w:cs="Times New Roman"/>
          <w:bCs/>
          <w:szCs w:val="26"/>
          <w:lang w:eastAsia="x-none"/>
        </w:rPr>
        <w:t xml:space="preserve"> 40-007 Katowice;</w:t>
      </w:r>
    </w:p>
    <w:p w14:paraId="56E4DDBD" w14:textId="75CED2B6" w:rsidR="00934D7C" w:rsidRPr="00F62027" w:rsidRDefault="00687243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color w:val="FF0000"/>
        </w:rPr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8574E2" w:rsidRPr="008574E2">
        <w:t>24 m-ce.</w:t>
      </w:r>
    </w:p>
    <w:p w14:paraId="440E065C" w14:textId="1AFA7CE5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16961AA3" w14:textId="77777777" w:rsidR="007A6B6B" w:rsidRPr="007A6B6B" w:rsidRDefault="007A6B6B" w:rsidP="007A6B6B">
      <w:pPr>
        <w:pStyle w:val="Tekstpodstawowy"/>
        <w:rPr>
          <w:lang w:val="pl-PL" w:eastAsia="x-none"/>
        </w:rPr>
      </w:pPr>
    </w:p>
    <w:p w14:paraId="43EEA720" w14:textId="41419DBE" w:rsidR="00CF6A08" w:rsidRPr="00455E04" w:rsidRDefault="00CF6A08" w:rsidP="007A6B6B">
      <w:pPr>
        <w:pStyle w:val="Nagwek2"/>
        <w:keepNext w:val="0"/>
        <w:widowControl w:val="0"/>
        <w:spacing w:before="100" w:beforeAutospacing="1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lastRenderedPageBreak/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DA845D5" w:rsidR="00364028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0" w:name="_Toc99351180"/>
      <w:r w:rsidRPr="005B5BDF">
        <w:t>Przedmiotowe środki dowodowe.</w:t>
      </w:r>
      <w:bookmarkEnd w:id="10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536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5367DE">
            <w:pPr>
              <w:widowControl w:val="0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5367DE">
            <w:pPr>
              <w:widowControl w:val="0"/>
              <w:spacing w:before="120" w:after="24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346CD6C0" w:rsidR="00985869" w:rsidRPr="00FA6B17" w:rsidRDefault="00636F3B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</w:t>
            </w:r>
            <w:r w:rsidR="00F62027">
              <w:rPr>
                <w:b w:val="0"/>
                <w:sz w:val="18"/>
                <w:szCs w:val="18"/>
              </w:rPr>
              <w:t>-</w:t>
            </w:r>
            <w:r w:rsidR="007A6B6B">
              <w:rPr>
                <w:b w:val="0"/>
                <w:sz w:val="18"/>
                <w:szCs w:val="18"/>
              </w:rPr>
              <w:t>C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5367D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5367D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7A6B6B">
      <w:pPr>
        <w:pStyle w:val="Nagwek2"/>
        <w:keepNext w:val="0"/>
        <w:widowControl w:val="0"/>
        <w:spacing w:before="36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7DE">
      <w:pPr>
        <w:widowControl w:val="0"/>
        <w:spacing w:after="36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5367DE">
      <w:pPr>
        <w:pStyle w:val="Nagwek1"/>
        <w:widowControl w:val="0"/>
        <w:spacing w:before="0"/>
      </w:pPr>
      <w:bookmarkStart w:id="11" w:name="_Toc375581634"/>
      <w:bookmarkStart w:id="12" w:name="_Toc375581816"/>
      <w:bookmarkStart w:id="13" w:name="_Toc375582133"/>
      <w:bookmarkStart w:id="14" w:name="_Toc99351181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1"/>
      <w:bookmarkEnd w:id="12"/>
      <w:bookmarkEnd w:id="13"/>
      <w:bookmarkEnd w:id="14"/>
      <w:r w:rsidRPr="005B5BDF">
        <w:t xml:space="preserve"> </w:t>
      </w:r>
    </w:p>
    <w:p w14:paraId="55FBF8D8" w14:textId="71704F0F" w:rsidR="00A867B7" w:rsidRPr="00F82100" w:rsidRDefault="00A62353" w:rsidP="005367DE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5367DE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5367DE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17889098" w:rsidR="00BC70A8" w:rsidRDefault="00BC70A8" w:rsidP="005367DE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6D1FE597" w14:textId="77777777" w:rsidR="007A6B6B" w:rsidRPr="00F82100" w:rsidRDefault="007A6B6B" w:rsidP="007A6B6B">
      <w:pPr>
        <w:widowControl w:val="0"/>
        <w:ind w:left="567" w:firstLine="0"/>
        <w:outlineLvl w:val="2"/>
        <w:rPr>
          <w:rFonts w:eastAsia="Times New Roman" w:cs="Times New Roman"/>
          <w:szCs w:val="20"/>
          <w:lang w:eastAsia="x-none"/>
        </w:rPr>
      </w:pPr>
    </w:p>
    <w:p w14:paraId="1CB1807B" w14:textId="42273675" w:rsidR="00BC70A8" w:rsidRPr="00F82100" w:rsidRDefault="00BC70A8" w:rsidP="005367DE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5367DE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5367DE">
      <w:pPr>
        <w:pStyle w:val="Akapitzlist"/>
        <w:widowControl w:val="0"/>
        <w:numPr>
          <w:ilvl w:val="0"/>
          <w:numId w:val="53"/>
        </w:numPr>
        <w:spacing w:after="12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5367DE">
      <w:pPr>
        <w:pStyle w:val="Nagwek1"/>
        <w:widowControl w:val="0"/>
        <w:spacing w:before="0"/>
      </w:pPr>
      <w:bookmarkStart w:id="15" w:name="_Toc99351182"/>
      <w:r w:rsidRPr="00F82100">
        <w:t>Kwalifikacja podmiotowa – warunki udziału w postępowaniu.</w:t>
      </w:r>
      <w:bookmarkEnd w:id="15"/>
    </w:p>
    <w:p w14:paraId="0C7E6B52" w14:textId="1EF1651C" w:rsidR="00F85C46" w:rsidRDefault="00473D30" w:rsidP="007A6B6B">
      <w:pPr>
        <w:widowControl w:val="0"/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5367DE">
      <w:pPr>
        <w:pStyle w:val="Nagwek1"/>
        <w:widowControl w:val="0"/>
        <w:spacing w:before="0"/>
        <w:rPr>
          <w:noProof/>
        </w:rPr>
      </w:pPr>
      <w:bookmarkStart w:id="16" w:name="_Toc99351183"/>
      <w:r w:rsidRPr="00F82100">
        <w:rPr>
          <w:noProof/>
        </w:rPr>
        <w:t>Oświadczenie wstępne, podmiotowe środki dowodowe oraz inne dokumenty.</w:t>
      </w:r>
      <w:bookmarkEnd w:id="16"/>
    </w:p>
    <w:p w14:paraId="064F06D8" w14:textId="77777777" w:rsidR="003950B2" w:rsidRPr="00F82100" w:rsidRDefault="00B376D2" w:rsidP="005367DE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5367D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536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5367DE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5367DE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536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367DE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5367D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5367DE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7A6B6B">
      <w:pPr>
        <w:pStyle w:val="Nagwek2"/>
        <w:keepNext w:val="0"/>
        <w:widowControl w:val="0"/>
        <w:spacing w:before="132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75C2CCF8" w:rsidR="00B376D2" w:rsidRDefault="00C035AE" w:rsidP="005367DE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5367DE">
      <w:pPr>
        <w:pStyle w:val="Nagwek3"/>
        <w:widowControl w:val="0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5367DE">
      <w:pPr>
        <w:pStyle w:val="Nagwek2"/>
        <w:spacing w:before="100" w:beforeAutospacing="1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7" w:name="_Toc99351184"/>
      <w:r w:rsidRPr="005B5BDF">
        <w:t>Wymagania dotyczące wadium.</w:t>
      </w:r>
      <w:bookmarkStart w:id="18" w:name="OLE_LINK1"/>
      <w:bookmarkEnd w:id="17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5367DE">
      <w:pPr>
        <w:pStyle w:val="Nagwek1"/>
        <w:widowControl w:val="0"/>
        <w:spacing w:before="0"/>
      </w:pPr>
      <w:bookmarkStart w:id="19" w:name="_Toc99351185"/>
      <w:bookmarkEnd w:id="18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19"/>
    </w:p>
    <w:p w14:paraId="618711CE" w14:textId="7B68746D" w:rsidR="00907E2D" w:rsidRPr="00307594" w:rsidRDefault="00907E2D" w:rsidP="007A6B6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7A6B6B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7A6B6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 xml:space="preserve">, z uwagi na brak dotrzymania wymogu </w:t>
      </w:r>
      <w:r w:rsidR="00471B27" w:rsidRPr="005B5BDF">
        <w:rPr>
          <w:lang w:val="pl"/>
        </w:rPr>
        <w:lastRenderedPageBreak/>
        <w:t>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06016FC" w:rsidR="00E21011" w:rsidRPr="00B707CD" w:rsidRDefault="00636F3B" w:rsidP="00B707CD">
      <w:pPr>
        <w:pStyle w:val="Nagwek3"/>
        <w:widowControl w:val="0"/>
        <w:numPr>
          <w:ilvl w:val="0"/>
          <w:numId w:val="64"/>
        </w:numPr>
        <w:ind w:left="567" w:hanging="283"/>
        <w:rPr>
          <w:lang w:val="x-none"/>
        </w:rPr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B707CD" w:rsidRPr="00B707CD">
        <w:t>21 maja 2024</w:t>
      </w:r>
      <w:r w:rsidRPr="005B5BDF">
        <w:t xml:space="preserve"> r. w sprawie Krajowych Ram Interoperacyjności, minimalnych wymagań dla rejestrów publicznych i wymiany informacji w postaci elektronicznej oraz minimalnych wymagań dla systemów teleinformatycznych (t.j. </w:t>
      </w:r>
      <w:r w:rsidR="00B707CD" w:rsidRPr="00B707CD">
        <w:rPr>
          <w:lang w:val="x-none"/>
        </w:rPr>
        <w:t>Dz.U. 2024 poz. 773</w:t>
      </w:r>
      <w:r w:rsidRPr="005B5BDF">
        <w:t>);</w:t>
      </w:r>
    </w:p>
    <w:p w14:paraId="748CA24D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7A6B6B">
      <w:pPr>
        <w:pStyle w:val="Nagwek3"/>
        <w:widowControl w:val="0"/>
        <w:numPr>
          <w:ilvl w:val="0"/>
          <w:numId w:val="8"/>
        </w:numPr>
        <w:ind w:left="568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7A6B6B">
      <w:pPr>
        <w:pStyle w:val="Nagwek3"/>
        <w:widowControl w:val="0"/>
        <w:numPr>
          <w:ilvl w:val="0"/>
          <w:numId w:val="8"/>
        </w:numPr>
        <w:ind w:left="568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7A6B6B">
      <w:pPr>
        <w:pStyle w:val="Nagwek3"/>
        <w:widowControl w:val="0"/>
        <w:numPr>
          <w:ilvl w:val="0"/>
          <w:numId w:val="8"/>
        </w:numPr>
        <w:ind w:left="568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7A6B6B">
      <w:pPr>
        <w:pStyle w:val="Nagwek3"/>
        <w:widowControl w:val="0"/>
        <w:numPr>
          <w:ilvl w:val="0"/>
          <w:numId w:val="8"/>
        </w:numPr>
        <w:ind w:left="568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0" w:name="_wp2umuqo1p7z" w:colFirst="0" w:colLast="0"/>
      <w:bookmarkStart w:id="21" w:name="_Toc99351186"/>
      <w:bookmarkEnd w:id="20"/>
      <w:r w:rsidRPr="005B5BDF">
        <w:t>Opis sposobu przygotowania ofert.</w:t>
      </w:r>
      <w:bookmarkEnd w:id="21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 xml:space="preserve">w postaci papierowej, przekazuje się cyfrowe odwzorowanie tego dokumentu opatrzone </w:t>
      </w:r>
      <w:r w:rsidRPr="005B5BDF">
        <w:lastRenderedPageBreak/>
        <w:t>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5367DE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5367DE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5367DE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5367DE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0F83A1C6" w:rsidR="00390A46" w:rsidRDefault="00002F1C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 cen</w:t>
      </w:r>
      <w:r w:rsidR="00E2062A">
        <w:rPr>
          <w:b/>
        </w:rPr>
        <w:t>y</w:t>
      </w:r>
      <w:r w:rsidR="00657383">
        <w:rPr>
          <w:b/>
        </w:rPr>
        <w:t xml:space="preserve"> </w:t>
      </w:r>
      <w:r w:rsidR="00DB2460">
        <w:rPr>
          <w:b/>
        </w:rPr>
        <w:t xml:space="preserve">jednostkowej </w:t>
      </w:r>
      <w:r w:rsidR="00EE444D" w:rsidRPr="007B0947">
        <w:rPr>
          <w:b/>
        </w:rPr>
        <w:t>netto,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47E1D8E2" w14:textId="3E4A3988" w:rsidR="007A6B6B" w:rsidRDefault="007A6B6B" w:rsidP="007A6B6B">
      <w:pPr>
        <w:pStyle w:val="Tekstpodstawowy"/>
        <w:rPr>
          <w:lang w:val="pl-PL" w:eastAsia="x-none"/>
        </w:rPr>
      </w:pPr>
    </w:p>
    <w:p w14:paraId="408DF1AB" w14:textId="77777777" w:rsidR="007A6B6B" w:rsidRPr="007A6B6B" w:rsidRDefault="007A6B6B" w:rsidP="007A6B6B">
      <w:pPr>
        <w:pStyle w:val="Tekstpodstawowy"/>
        <w:rPr>
          <w:lang w:val="pl-PL" w:eastAsia="x-none"/>
        </w:rPr>
      </w:pPr>
    </w:p>
    <w:p w14:paraId="7405BEB4" w14:textId="77777777" w:rsidR="008B7428" w:rsidRDefault="00847F12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lastRenderedPageBreak/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5367DE">
      <w:pPr>
        <w:pStyle w:val="Akapitzlist"/>
        <w:widowControl w:val="0"/>
        <w:numPr>
          <w:ilvl w:val="0"/>
          <w:numId w:val="20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5367DE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5367DE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536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6E6FB913" w:rsidR="007B0947" w:rsidRDefault="00A57F79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7143AC0F" w14:textId="53CE3D97" w:rsidR="005367DE" w:rsidRPr="007A6B6B" w:rsidRDefault="00473F6B" w:rsidP="007A6B6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5367DE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2A1DA08D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4DA4FAC4" w14:textId="77777777" w:rsidR="007A6B6B" w:rsidRPr="007A6B6B" w:rsidRDefault="007A6B6B" w:rsidP="007A6B6B">
      <w:pPr>
        <w:pStyle w:val="Tekstpodstawowy"/>
        <w:rPr>
          <w:lang w:val="pl-PL" w:eastAsia="x-none"/>
        </w:rPr>
      </w:pP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lastRenderedPageBreak/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25BC62FE" w14:textId="7E502A3C" w:rsidR="005367DE" w:rsidRPr="007A6B6B" w:rsidRDefault="00197885" w:rsidP="007A6B6B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2" w:name="_Toc99351187"/>
      <w:r w:rsidRPr="005B5BDF">
        <w:t>Sposób oraz termin składania ofert.</w:t>
      </w:r>
      <w:bookmarkEnd w:id="22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269CA306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4F1D74">
        <w:rPr>
          <w:lang w:eastAsia="x-none"/>
        </w:rPr>
        <w:t xml:space="preserve">  </w:t>
      </w:r>
      <w:r w:rsidR="004F1D74">
        <w:rPr>
          <w:b/>
          <w:shd w:val="clear" w:color="auto" w:fill="D9E2F3" w:themeFill="accent1" w:themeFillTint="33"/>
          <w:lang w:eastAsia="x-none"/>
        </w:rPr>
        <w:t xml:space="preserve">22.11.2024 r. 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3" w:name="_Toc99351188"/>
      <w:r w:rsidRPr="005B5BDF">
        <w:t>Termin i tryb otwarcia ofert.</w:t>
      </w:r>
      <w:bookmarkEnd w:id="23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6E074D56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A529C7" w:rsidRPr="00A529C7">
        <w:rPr>
          <w:rFonts w:eastAsia="Calibri"/>
          <w:b/>
          <w:shd w:val="clear" w:color="auto" w:fill="DEEAF6" w:themeFill="accent5" w:themeFillTint="33"/>
        </w:rPr>
        <w:t xml:space="preserve">22.11.2024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4" w:name="_Toc99351189"/>
      <w:r w:rsidRPr="005B5BDF">
        <w:t>Termin związania ofertą.</w:t>
      </w:r>
      <w:bookmarkEnd w:id="24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3BB0AB78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895296">
        <w:rPr>
          <w:b/>
          <w:shd w:val="clear" w:color="auto" w:fill="D9E2F3" w:themeFill="accent1" w:themeFillTint="33"/>
        </w:rPr>
        <w:t>21.12.2024</w:t>
      </w:r>
      <w:bookmarkStart w:id="25" w:name="_GoBack"/>
      <w:bookmarkEnd w:id="25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6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0CAD61D5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5367DE">
        <w:t xml:space="preserve"> w zakresie danej części </w:t>
      </w:r>
      <w:r w:rsidR="00F85C46" w:rsidRPr="005B5BDF">
        <w:t>postępowania</w:t>
      </w:r>
      <w:r w:rsidR="00591EEB">
        <w:t>,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43393277" w14:textId="77777777" w:rsidR="005367DE" w:rsidRPr="005367DE" w:rsidRDefault="005367DE" w:rsidP="007A6B6B">
      <w:pPr>
        <w:pStyle w:val="Tekstpodstawowy"/>
        <w:ind w:left="0" w:firstLine="0"/>
        <w:rPr>
          <w:lang w:val="pl-PL" w:eastAsia="x-none"/>
        </w:rPr>
      </w:pPr>
    </w:p>
    <w:p w14:paraId="29F2E8A9" w14:textId="072CA1A5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7F015E4B" w:rsidR="00CC568A" w:rsidRPr="00CC568A" w:rsidRDefault="00B4713F" w:rsidP="00ED423B">
      <w:pPr>
        <w:pStyle w:val="Nagwek4"/>
        <w:widowControl w:val="0"/>
        <w:numPr>
          <w:ilvl w:val="0"/>
          <w:numId w:val="55"/>
        </w:numPr>
        <w:spacing w:before="120" w:after="0"/>
        <w:ind w:left="1134" w:hanging="283"/>
        <w:contextualSpacing w:val="0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180D1A">
        <w:rPr>
          <w:rFonts w:cs="Arial"/>
          <w:lang w:val="pl-PL"/>
        </w:rPr>
        <w:t>11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ED423B">
      <w:pPr>
        <w:widowControl w:val="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579F131C" w:rsidR="00CC568A" w:rsidRPr="00DE5458" w:rsidRDefault="00CC568A" w:rsidP="00ED423B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180D1A">
        <w:rPr>
          <w:rFonts w:eastAsia="Palatino Linotype" w:cs="Arial"/>
          <w:b/>
          <w:szCs w:val="20"/>
          <w:lang w:eastAsia="pl-PL"/>
        </w:rPr>
        <w:t>11</w:t>
      </w:r>
      <w:r w:rsidR="00EB0397">
        <w:rPr>
          <w:rFonts w:eastAsia="Palatino Linotype" w:cs="Arial"/>
          <w:b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180D1A">
        <w:rPr>
          <w:rFonts w:eastAsia="Palatino Linotype" w:cs="Arial"/>
          <w:b/>
          <w:szCs w:val="20"/>
          <w:lang w:eastAsia="pl-PL"/>
        </w:rPr>
        <w:t>4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180D1A">
        <w:rPr>
          <w:rFonts w:eastAsia="Palatino Linotype" w:cs="Arial"/>
          <w:b/>
          <w:szCs w:val="20"/>
        </w:rPr>
        <w:t>11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180D1A">
        <w:rPr>
          <w:rFonts w:eastAsia="Palatino Linotype" w:cs="Arial"/>
          <w:szCs w:val="20"/>
        </w:rPr>
        <w:t>10</w:t>
      </w:r>
      <w:r w:rsidRPr="00DE5458">
        <w:rPr>
          <w:rFonts w:eastAsia="Palatino Linotype" w:cs="Arial"/>
          <w:szCs w:val="20"/>
        </w:rPr>
        <w:t xml:space="preserve"> dni –  </w:t>
      </w:r>
      <w:r w:rsidR="00180D1A">
        <w:rPr>
          <w:rFonts w:eastAsia="Palatino Linotype" w:cs="Arial"/>
          <w:szCs w:val="20"/>
        </w:rPr>
        <w:t xml:space="preserve">4 </w:t>
      </w:r>
      <w:r w:rsidRPr="00DE5458">
        <w:rPr>
          <w:rFonts w:eastAsia="Palatino Linotype" w:cs="Arial"/>
          <w:szCs w:val="20"/>
        </w:rPr>
        <w:t xml:space="preserve">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="00180D1A"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dni – </w:t>
      </w:r>
      <w:r w:rsidR="00180D1A">
        <w:rPr>
          <w:rFonts w:eastAsia="Palatino Linotype" w:cs="Arial"/>
          <w:szCs w:val="20"/>
        </w:rPr>
        <w:t>8</w:t>
      </w:r>
      <w:r w:rsidRPr="00DE5458">
        <w:rPr>
          <w:rFonts w:eastAsia="Palatino Linotype" w:cs="Arial"/>
          <w:szCs w:val="20"/>
        </w:rPr>
        <w:t xml:space="preserve"> pkt; … ; </w:t>
      </w:r>
      <w:r w:rsidR="00180D1A">
        <w:rPr>
          <w:rFonts w:eastAsia="Palatino Linotype" w:cs="Arial"/>
          <w:szCs w:val="20"/>
        </w:rPr>
        <w:t>2</w:t>
      </w:r>
      <w:r w:rsidRPr="00DE5458">
        <w:rPr>
          <w:rFonts w:eastAsia="Palatino Linotype" w:cs="Arial"/>
          <w:szCs w:val="20"/>
        </w:rPr>
        <w:t xml:space="preserve"> dni – </w:t>
      </w:r>
      <w:r w:rsidR="00591EEB">
        <w:rPr>
          <w:rFonts w:eastAsia="Palatino Linotype" w:cs="Arial"/>
          <w:szCs w:val="20"/>
        </w:rPr>
        <w:t>3</w:t>
      </w:r>
      <w:r w:rsidR="00180D1A">
        <w:rPr>
          <w:rFonts w:eastAsia="Palatino Linotype" w:cs="Arial"/>
          <w:szCs w:val="20"/>
        </w:rPr>
        <w:t>6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40 pkt;</w:t>
      </w:r>
    </w:p>
    <w:p w14:paraId="0DC18C22" w14:textId="445173EE" w:rsidR="00CC568A" w:rsidRPr="006447F1" w:rsidRDefault="00CC568A" w:rsidP="00ED423B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180D1A">
        <w:rPr>
          <w:rFonts w:eastAsia="Palatino Linotype" w:cs="Arial"/>
          <w:szCs w:val="20"/>
        </w:rPr>
        <w:t>11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ED423B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ED423B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325297D8" w:rsidR="00CC568A" w:rsidRPr="00CC568A" w:rsidRDefault="00CC568A" w:rsidP="00ED423B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lastRenderedPageBreak/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2B96628" w:rsidR="009E363B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ED423B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ED423B">
      <w:pPr>
        <w:pStyle w:val="Nagwek2"/>
        <w:keepNext w:val="0"/>
        <w:widowControl w:val="0"/>
        <w:numPr>
          <w:ilvl w:val="0"/>
          <w:numId w:val="62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ED423B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ED423B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ED423B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ED423B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ED423B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7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7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33F4A21D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4AFC039B" w14:textId="77777777" w:rsidR="00ED423B" w:rsidRPr="001A3180" w:rsidRDefault="00ED423B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28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8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5 dni od dnia zamieszczenia ogłoszenia w Biuletynie Zamówień Publicznych lub dokumentów zamówienia na stronie internetowej, jeżeli chodzi o odwołanie wobec treści ogłoszenia </w:t>
      </w:r>
      <w:r>
        <w:rPr>
          <w:lang w:eastAsia="x-none"/>
        </w:rPr>
        <w:lastRenderedPageBreak/>
        <w:t>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29" w:name="_Toc99351193"/>
      <w:r w:rsidRPr="005B5BDF">
        <w:t>Informacje dodatkowe.</w:t>
      </w:r>
      <w:bookmarkEnd w:id="29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5461DF01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lastRenderedPageBreak/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697F7E">
        <w:rPr>
          <w:b/>
          <w:lang w:val="pl-PL"/>
        </w:rPr>
        <w:t>104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 xml:space="preserve">Dostawa </w:t>
      </w:r>
      <w:r w:rsidR="00697F7E">
        <w:rPr>
          <w:b/>
          <w:lang w:val="pl-PL"/>
        </w:rPr>
        <w:t>zasilaczy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4EEB8C0E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922B13" w:rsidRPr="00922B13">
        <w:rPr>
          <w:lang w:val="pl-PL"/>
        </w:rPr>
        <w:t>Dz.U. 2024 poz. 1320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</w:t>
      </w:r>
      <w:r w:rsidR="003144B0" w:rsidRPr="005B5BDF">
        <w:rPr>
          <w:rFonts w:cs="Arial"/>
          <w:szCs w:val="20"/>
          <w:lang w:eastAsia="ar-SA"/>
        </w:rPr>
        <w:lastRenderedPageBreak/>
        <w:t>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1E93505" w14:textId="41233FAE" w:rsidR="00765049" w:rsidRPr="005B5BDF" w:rsidRDefault="00CC1292" w:rsidP="00ED423B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92079A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957E8C" w:rsidRDefault="00957E8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957E8C" w:rsidRDefault="00957E8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3F9ED60C" w:rsidR="00957E8C" w:rsidRPr="00901724" w:rsidRDefault="00957E8C" w:rsidP="005367DE">
        <w:pPr>
          <w:pStyle w:val="Stopka"/>
          <w:spacing w:before="240" w:after="24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ED423B"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14736680" w14:textId="4B47D4B0" w:rsidR="00957E8C" w:rsidRPr="00ED1083" w:rsidRDefault="00957E8C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A56" w14:textId="66F2709F" w:rsidR="00957E8C" w:rsidRPr="00F84EF3" w:rsidRDefault="00957E8C" w:rsidP="0009568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445980CC" wp14:editId="4911213D">
          <wp:simplePos x="0" y="0"/>
          <wp:positionH relativeFrom="page">
            <wp:posOffset>4987290</wp:posOffset>
          </wp:positionH>
          <wp:positionV relativeFrom="page">
            <wp:posOffset>9196705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8E5A490" wp14:editId="58E327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4023A70D" w:rsidR="00957E8C" w:rsidRPr="00602A59" w:rsidRDefault="00957E8C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0E14E4A" w14:textId="1CCC5C02" w:rsidR="00957E8C" w:rsidRPr="00602A59" w:rsidRDefault="00957E8C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957E8C" w:rsidRPr="00602A59" w:rsidRDefault="00957E8C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957E8C" w:rsidRPr="00602A59" w:rsidRDefault="00957E8C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957E8C" w:rsidRDefault="00895296" w:rsidP="00095684">
    <w:pPr>
      <w:pStyle w:val="Stopka"/>
      <w:ind w:left="0" w:firstLine="0"/>
      <w:rPr>
        <w:color w:val="002D59"/>
        <w:sz w:val="16"/>
        <w:szCs w:val="16"/>
      </w:rPr>
    </w:pPr>
    <w:hyperlink r:id="rId2" w:history="1">
      <w:r w:rsidR="00957E8C" w:rsidRPr="00E517F1">
        <w:rPr>
          <w:rStyle w:val="Hipercze"/>
          <w:sz w:val="16"/>
          <w:szCs w:val="16"/>
        </w:rPr>
        <w:t>www.</w:t>
      </w:r>
      <w:r w:rsidR="00957E8C" w:rsidRPr="00E517F1">
        <w:rPr>
          <w:rStyle w:val="Hipercze"/>
          <w:b/>
          <w:bCs/>
          <w:sz w:val="16"/>
          <w:szCs w:val="16"/>
        </w:rPr>
        <w:t>us.</w:t>
      </w:r>
      <w:r w:rsidR="00957E8C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957E8C" w:rsidRDefault="00957E8C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957E8C" w:rsidRDefault="00957E8C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957E8C" w:rsidRDefault="00957E8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F2920" w14:textId="1B19703E" w:rsidR="00957E8C" w:rsidRDefault="00957E8C">
    <w:pPr>
      <w:pStyle w:val="Nagwek"/>
    </w:pPr>
  </w:p>
  <w:p w14:paraId="039940F6" w14:textId="295DC7B4" w:rsidR="00957E8C" w:rsidRDefault="00957E8C" w:rsidP="008D6FC1">
    <w:pPr>
      <w:pStyle w:val="Nagwek"/>
      <w:ind w:left="0" w:firstLine="0"/>
    </w:pPr>
  </w:p>
  <w:p w14:paraId="1FD4D715" w14:textId="77777777" w:rsidR="00957E8C" w:rsidRDefault="0095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957E8C" w:rsidRDefault="00957E8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0" w:name="_Hlk109991209"/>
    <w:bookmarkStart w:id="31" w:name="_Hlk109991210"/>
  </w:p>
  <w:p w14:paraId="75654D78" w14:textId="77777777" w:rsidR="00957E8C" w:rsidRDefault="00957E8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78D47F0F" w14:textId="77777777" w:rsidR="00957E8C" w:rsidRDefault="00957E8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3DE1B6A" w14:textId="77777777" w:rsidR="00957E8C" w:rsidRDefault="00957E8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0F68D6A8" w14:textId="77777777" w:rsidR="00957E8C" w:rsidRDefault="00957E8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94F3A3B" w14:textId="434C1406" w:rsidR="00957E8C" w:rsidRPr="008D6FC1" w:rsidRDefault="00957E8C" w:rsidP="008D6FC1">
    <w:pPr>
      <w:pStyle w:val="Nagwek"/>
      <w:ind w:left="0" w:firstLine="0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0"/>
    <w:bookmarkEnd w:id="3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B15A7A58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AE25166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0A16A54"/>
    <w:multiLevelType w:val="hybridMultilevel"/>
    <w:tmpl w:val="B2BA3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9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24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4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4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4"/>
    <w:lvlOverride w:ilvl="0">
      <w:startOverride w:val="1"/>
    </w:lvlOverride>
  </w:num>
  <w:num w:numId="41">
    <w:abstractNumId w:val="24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4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6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4"/>
    <w:lvlOverride w:ilvl="0">
      <w:startOverride w:val="1"/>
    </w:lvlOverride>
  </w:num>
  <w:num w:numId="56">
    <w:abstractNumId w:val="25"/>
  </w:num>
  <w:num w:numId="57">
    <w:abstractNumId w:val="1"/>
  </w:num>
  <w:num w:numId="58">
    <w:abstractNumId w:val="28"/>
  </w:num>
  <w:num w:numId="59">
    <w:abstractNumId w:val="31"/>
  </w:num>
  <w:num w:numId="60">
    <w:abstractNumId w:val="32"/>
  </w:num>
  <w:num w:numId="61">
    <w:abstractNumId w:val="6"/>
  </w:num>
  <w:num w:numId="62">
    <w:abstractNumId w:val="9"/>
  </w:num>
  <w:num w:numId="63">
    <w:abstractNumId w:val="33"/>
  </w:num>
  <w:num w:numId="64">
    <w:abstractNumId w:val="30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7"/>
  </w:num>
  <w:num w:numId="70">
    <w:abstractNumId w:val="3"/>
  </w:num>
  <w:num w:numId="71">
    <w:abstractNumId w:val="18"/>
  </w:num>
  <w:num w:numId="72">
    <w:abstractNumId w:val="23"/>
  </w:num>
  <w:num w:numId="73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6670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5739F"/>
    <w:rsid w:val="0016280F"/>
    <w:rsid w:val="00170642"/>
    <w:rsid w:val="001769D9"/>
    <w:rsid w:val="00180D1A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3915"/>
    <w:rsid w:val="001D40CF"/>
    <w:rsid w:val="001D5C6C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07B7"/>
    <w:rsid w:val="00272E3F"/>
    <w:rsid w:val="002767DF"/>
    <w:rsid w:val="0027702E"/>
    <w:rsid w:val="002815DF"/>
    <w:rsid w:val="00286153"/>
    <w:rsid w:val="00297357"/>
    <w:rsid w:val="002976DF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04CE"/>
    <w:rsid w:val="002E379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74E7B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2924"/>
    <w:rsid w:val="003944EC"/>
    <w:rsid w:val="003950B2"/>
    <w:rsid w:val="003A026D"/>
    <w:rsid w:val="003A0DD4"/>
    <w:rsid w:val="003A3459"/>
    <w:rsid w:val="003A4197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29AD"/>
    <w:rsid w:val="00455B33"/>
    <w:rsid w:val="00455E04"/>
    <w:rsid w:val="00457D79"/>
    <w:rsid w:val="0046749E"/>
    <w:rsid w:val="00467620"/>
    <w:rsid w:val="00467882"/>
    <w:rsid w:val="00470C6B"/>
    <w:rsid w:val="00471B27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4922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1D74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7DE"/>
    <w:rsid w:val="00536D6A"/>
    <w:rsid w:val="00540C8C"/>
    <w:rsid w:val="005416E8"/>
    <w:rsid w:val="005425C4"/>
    <w:rsid w:val="0054333A"/>
    <w:rsid w:val="00546A42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4E90"/>
    <w:rsid w:val="00586657"/>
    <w:rsid w:val="00587476"/>
    <w:rsid w:val="00590944"/>
    <w:rsid w:val="00591EEB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1E8A"/>
    <w:rsid w:val="006346FC"/>
    <w:rsid w:val="00634714"/>
    <w:rsid w:val="00634A56"/>
    <w:rsid w:val="00635695"/>
    <w:rsid w:val="006364F5"/>
    <w:rsid w:val="00636BE3"/>
    <w:rsid w:val="00636F3B"/>
    <w:rsid w:val="00637464"/>
    <w:rsid w:val="006375F6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97F7E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B"/>
    <w:rsid w:val="007A6B6C"/>
    <w:rsid w:val="007A751D"/>
    <w:rsid w:val="007B0947"/>
    <w:rsid w:val="007B1224"/>
    <w:rsid w:val="007B2F96"/>
    <w:rsid w:val="007B4A2F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0E1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574E2"/>
    <w:rsid w:val="008614DC"/>
    <w:rsid w:val="008657DF"/>
    <w:rsid w:val="00873DD6"/>
    <w:rsid w:val="00876189"/>
    <w:rsid w:val="00877825"/>
    <w:rsid w:val="00884A25"/>
    <w:rsid w:val="00886073"/>
    <w:rsid w:val="00891B36"/>
    <w:rsid w:val="00891C1C"/>
    <w:rsid w:val="00895296"/>
    <w:rsid w:val="00896AA9"/>
    <w:rsid w:val="008974DB"/>
    <w:rsid w:val="008A30C3"/>
    <w:rsid w:val="008A431F"/>
    <w:rsid w:val="008A72DD"/>
    <w:rsid w:val="008B0002"/>
    <w:rsid w:val="008B665A"/>
    <w:rsid w:val="008B6820"/>
    <w:rsid w:val="008B7428"/>
    <w:rsid w:val="008C0FA1"/>
    <w:rsid w:val="008D0712"/>
    <w:rsid w:val="008D2094"/>
    <w:rsid w:val="008D5E0B"/>
    <w:rsid w:val="008D6FBC"/>
    <w:rsid w:val="008D6FC1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2B13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57E8C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1E56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29C7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07CD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7DF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62AB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5A9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331F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C70AA"/>
    <w:rsid w:val="00ED1083"/>
    <w:rsid w:val="00ED1B83"/>
    <w:rsid w:val="00ED2852"/>
    <w:rsid w:val="00ED3A84"/>
    <w:rsid w:val="00ED423B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41C6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509"/>
    <w:rsid w:val="00F50F25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2D4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8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45477-0888-4DCD-BB22-A81F9E71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22</Pages>
  <Words>8965</Words>
  <Characters>53796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671</cp:revision>
  <cp:lastPrinted>2022-11-24T06:47:00Z</cp:lastPrinted>
  <dcterms:created xsi:type="dcterms:W3CDTF">2021-02-03T06:43:00Z</dcterms:created>
  <dcterms:modified xsi:type="dcterms:W3CDTF">2024-11-14T07:13:00Z</dcterms:modified>
</cp:coreProperties>
</file>