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9C" w:rsidRDefault="00FB049C" w:rsidP="00FB049C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a do SWZ</w:t>
      </w:r>
    </w:p>
    <w:p w:rsidR="00436E3E" w:rsidRDefault="00436E3E" w:rsidP="00436E3E">
      <w:pPr>
        <w:jc w:val="center"/>
        <w:rPr>
          <w:b/>
        </w:rPr>
      </w:pPr>
      <w:r w:rsidRPr="002D178C">
        <w:rPr>
          <w:b/>
        </w:rPr>
        <w:t>„Dostawa sprzętu komputerowego w ramach projektu Cyfrowa Gmina – Wsparcie dzieci z rodzin popegeerowskich w rozwoju cyfrowym – Granty PPGR”</w:t>
      </w:r>
    </w:p>
    <w:p w:rsidR="00436E3E" w:rsidRDefault="00436E3E" w:rsidP="00436E3E">
      <w:pPr>
        <w:jc w:val="center"/>
        <w:rPr>
          <w:b/>
        </w:rPr>
      </w:pPr>
      <w:r w:rsidRPr="002D178C">
        <w:rPr>
          <w:b/>
        </w:rPr>
        <w:t>OPIS PRZEDMIOTU ZAMÓWIENIA</w:t>
      </w:r>
      <w:r>
        <w:rPr>
          <w:b/>
        </w:rPr>
        <w:t xml:space="preserve">  - Część 1 zamówienia</w:t>
      </w:r>
    </w:p>
    <w:p w:rsidR="00436E3E" w:rsidRPr="002D178C" w:rsidRDefault="00436E3E" w:rsidP="00436E3E">
      <w:pPr>
        <w:rPr>
          <w:b/>
        </w:rPr>
      </w:pPr>
      <w:r>
        <w:rPr>
          <w:b/>
        </w:rPr>
        <w:t xml:space="preserve">Dostawa komputerów przenośnych – 278 szt. wg specyfikacji przedstawionej w poniższe tabeli. </w:t>
      </w:r>
    </w:p>
    <w:p w:rsidR="00436E3E" w:rsidRPr="002D178C" w:rsidRDefault="00436E3E" w:rsidP="00436E3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7"/>
        <w:gridCol w:w="6885"/>
      </w:tblGrid>
      <w:tr w:rsidR="00436E3E" w:rsidRPr="00B06534" w:rsidTr="00436E3E">
        <w:trPr>
          <w:trHeight w:val="634"/>
        </w:trPr>
        <w:tc>
          <w:tcPr>
            <w:tcW w:w="2177" w:type="dxa"/>
            <w:shd w:val="clear" w:color="auto" w:fill="auto"/>
            <w:vAlign w:val="center"/>
          </w:tcPr>
          <w:p w:rsidR="00436E3E" w:rsidRPr="00B06534" w:rsidRDefault="00436E3E" w:rsidP="00436E3E">
            <w:pPr>
              <w:spacing w:after="0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B06534">
              <w:rPr>
                <w:rFonts w:ascii="Calibri Light" w:hAnsi="Calibri Light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36E3E" w:rsidRPr="00B06534" w:rsidRDefault="00436E3E" w:rsidP="00436E3E">
            <w:pPr>
              <w:spacing w:after="0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B06534">
              <w:rPr>
                <w:rFonts w:ascii="Calibri Light" w:hAnsi="Calibri Light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>Komputer przenośny będzie wykorzystywany dla potrzeb aplikacji biurowych, aplikacji edukacyjnych, aplikacji obliczeniowych, dostępu do Internetu oraz poczty elektronicznej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t>Matryca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outlineLvl w:val="0"/>
              <w:rPr>
                <w:rFonts w:cstheme="minorHAnsi"/>
                <w:color w:val="00B050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>Ekran 15,6" o rozdzielczości FHD (1920 x 1080) z podświetleniem LED z powłoką matową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Procesor</w:t>
            </w:r>
          </w:p>
        </w:tc>
        <w:tc>
          <w:tcPr>
            <w:tcW w:w="6885" w:type="dxa"/>
          </w:tcPr>
          <w:p w:rsidR="00436E3E" w:rsidRPr="00436E3E" w:rsidRDefault="00436E3E" w:rsidP="00DB7E5D">
            <w:pPr>
              <w:jc w:val="both"/>
              <w:rPr>
                <w:rFonts w:cstheme="minorHAnsi"/>
                <w:bCs/>
                <w:color w:val="00B050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>Procesor wielordzeniowy ze zintegrowaną grafiką, zaprojektowany do pracy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36E3E">
              <w:rPr>
                <w:rFonts w:cstheme="minorHAnsi"/>
                <w:sz w:val="24"/>
                <w:szCs w:val="24"/>
                <w:lang w:val="pl-PL"/>
              </w:rPr>
              <w:t xml:space="preserve">w komputerach przenośnych klasy x86. Punktacja procesora na poziomie wydajności liczonej w punktach równa lub wyższa </w:t>
            </w:r>
            <w:r w:rsidR="00DB7E5D">
              <w:rPr>
                <w:rFonts w:cstheme="minorHAnsi"/>
                <w:sz w:val="24"/>
                <w:szCs w:val="24"/>
                <w:lang w:val="pl-PL"/>
              </w:rPr>
              <w:t>6250</w:t>
            </w:r>
            <w:r w:rsidRPr="00436E3E">
              <w:rPr>
                <w:rFonts w:cstheme="minorHAnsi"/>
                <w:sz w:val="24"/>
                <w:szCs w:val="24"/>
                <w:lang w:val="pl-PL"/>
              </w:rPr>
              <w:t xml:space="preserve"> na podstawie Performance Test w teście CPU Mark według wyników Avarage CPU Mark opublikowanych na </w:t>
            </w:r>
            <w:hyperlink r:id="rId7" w:history="1">
              <w:r w:rsidRPr="00436E3E">
                <w:rPr>
                  <w:rStyle w:val="Hipercze"/>
                  <w:rFonts w:cstheme="minorHAnsi"/>
                  <w:sz w:val="24"/>
                  <w:szCs w:val="24"/>
                  <w:lang w:val="pl-PL"/>
                </w:rPr>
                <w:t>http://www.cpubenchmark.net/</w:t>
              </w:r>
            </w:hyperlink>
            <w:r w:rsidRPr="00436E3E">
              <w:rPr>
                <w:rFonts w:cstheme="minorHAnsi"/>
                <w:sz w:val="24"/>
                <w:szCs w:val="24"/>
                <w:lang w:val="pl-PL"/>
              </w:rPr>
              <w:t>. Wykonawca w składanej ofercie winien podać dokładny model oferowanego podzespołu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6885" w:type="dxa"/>
          </w:tcPr>
          <w:p w:rsidR="00436E3E" w:rsidRPr="00436E3E" w:rsidRDefault="00436E3E" w:rsidP="00586922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Min. 8GB DDR4 możliwość rozbudowy</w:t>
            </w:r>
            <w:r>
              <w:rPr>
                <w:rFonts w:cstheme="minorHAnsi"/>
                <w:bCs/>
                <w:sz w:val="24"/>
                <w:szCs w:val="24"/>
                <w:lang w:val="pl-PL"/>
              </w:rPr>
              <w:t xml:space="preserve"> do min 16GB, dwa sloty pamięc</w:t>
            </w:r>
            <w:r w:rsidR="00586922">
              <w:rPr>
                <w:rFonts w:cstheme="minorHAnsi"/>
                <w:bCs/>
                <w:sz w:val="24"/>
                <w:szCs w:val="24"/>
                <w:lang w:val="pl-PL"/>
              </w:rPr>
              <w:t xml:space="preserve">i </w:t>
            </w: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(nie dopuszcza się pamięci wlutowanych); jeden slot wolny na dalszą rozbudowę</w:t>
            </w:r>
            <w:r w:rsidR="00586922">
              <w:rPr>
                <w:rFonts w:cstheme="minorHAnsi"/>
                <w:bCs/>
                <w:sz w:val="24"/>
                <w:szCs w:val="24"/>
                <w:lang w:val="pl-PL"/>
              </w:rPr>
              <w:t xml:space="preserve"> </w:t>
            </w: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 xml:space="preserve">do min. 16 GB </w:t>
            </w:r>
          </w:p>
        </w:tc>
      </w:tr>
      <w:tr w:rsidR="00436E3E" w:rsidRPr="00436E3E" w:rsidTr="00436E3E">
        <w:trPr>
          <w:trHeight w:val="400"/>
        </w:trPr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t>Pamięć masowa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 xml:space="preserve">min. 256 GB SSD NVMe 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color w:val="FF0000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 xml:space="preserve">Zintegrowana z procesorem </w:t>
            </w:r>
          </w:p>
        </w:tc>
      </w:tr>
      <w:tr w:rsidR="00436E3E" w:rsidRPr="00436E3E" w:rsidTr="00436E3E">
        <w:trPr>
          <w:trHeight w:val="416"/>
        </w:trPr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Multimedia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Karta dźwiękowa stereo zintegrowana z płytą główną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Wbudowany w obudowę mikr</w:t>
            </w:r>
            <w:r w:rsidR="00586922">
              <w:rPr>
                <w:rFonts w:cstheme="minorHAnsi"/>
                <w:bCs/>
                <w:sz w:val="24"/>
                <w:szCs w:val="24"/>
                <w:lang w:val="pl-PL"/>
              </w:rPr>
              <w:t>ofon wraz z kamerą wyposażoną w </w:t>
            </w: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diodę informującą użytkownika o jej aktywności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6885" w:type="dxa"/>
          </w:tcPr>
          <w:p w:rsidR="00436E3E" w:rsidRPr="00586922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586922">
              <w:rPr>
                <w:rFonts w:cstheme="minorHAnsi"/>
                <w:sz w:val="24"/>
                <w:szCs w:val="24"/>
                <w:lang w:val="pl-PL"/>
              </w:rPr>
              <w:t>Czas pracy na baterii wg do</w:t>
            </w:r>
            <w:r w:rsidR="00586922" w:rsidRPr="00586922">
              <w:rPr>
                <w:rFonts w:cstheme="minorHAnsi"/>
                <w:sz w:val="24"/>
                <w:szCs w:val="24"/>
                <w:lang w:val="pl-PL"/>
              </w:rPr>
              <w:t>kumentacji producenta minimum 6 </w:t>
            </w:r>
            <w:r w:rsidRPr="00586922">
              <w:rPr>
                <w:rFonts w:cstheme="minorHAnsi"/>
                <w:sz w:val="24"/>
                <w:szCs w:val="24"/>
                <w:lang w:val="pl-PL"/>
              </w:rPr>
              <w:t>godzin</w:t>
            </w:r>
            <w:r w:rsidR="00586922" w:rsidRPr="00586922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  <w:p w:rsidR="00436E3E" w:rsidRPr="00586922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922">
              <w:rPr>
                <w:rFonts w:cstheme="minorHAnsi"/>
                <w:sz w:val="24"/>
                <w:szCs w:val="24"/>
                <w:lang w:val="pl-PL"/>
              </w:rPr>
              <w:t xml:space="preserve">Zasilacz o mocy </w:t>
            </w:r>
            <w:r w:rsidRPr="00586922">
              <w:rPr>
                <w:rFonts w:cstheme="minorHAnsi"/>
                <w:bCs/>
                <w:sz w:val="24"/>
                <w:szCs w:val="24"/>
                <w:lang w:val="pl-PL"/>
              </w:rPr>
              <w:t xml:space="preserve">min. 65W. </w:t>
            </w:r>
          </w:p>
          <w:p w:rsidR="00436E3E" w:rsidRPr="00586922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922">
              <w:rPr>
                <w:rFonts w:cstheme="minorHAnsi"/>
                <w:bCs/>
                <w:sz w:val="24"/>
                <w:szCs w:val="24"/>
                <w:lang w:val="pl-PL"/>
              </w:rPr>
              <w:t xml:space="preserve">Konstrukcja komputera musi umożliwiać demontaż samej baterii lub wszystkich zainstalowanych baterii, samodzielnie bez udziału serwisu w okresie gwarancyjnym. Bateria nie może być trwale </w:t>
            </w:r>
            <w:r w:rsidRPr="00586922">
              <w:rPr>
                <w:rFonts w:cstheme="minorHAnsi"/>
                <w:bCs/>
                <w:sz w:val="24"/>
                <w:szCs w:val="24"/>
                <w:lang w:val="pl-PL"/>
              </w:rPr>
              <w:lastRenderedPageBreak/>
              <w:t>zespolona z płytą główną.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>Waga</w:t>
            </w:r>
          </w:p>
        </w:tc>
        <w:tc>
          <w:tcPr>
            <w:tcW w:w="6885" w:type="dxa"/>
          </w:tcPr>
          <w:p w:rsidR="00436E3E" w:rsidRPr="00586922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922">
              <w:rPr>
                <w:rFonts w:cstheme="minorHAnsi"/>
                <w:bCs/>
                <w:sz w:val="24"/>
                <w:szCs w:val="24"/>
                <w:lang w:val="pl-PL"/>
              </w:rPr>
              <w:t>Waga komputera z oferowaną baterią nie większa niż 2,5 kg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Obudowa</w:t>
            </w:r>
          </w:p>
        </w:tc>
        <w:tc>
          <w:tcPr>
            <w:tcW w:w="6885" w:type="dxa"/>
          </w:tcPr>
          <w:p w:rsidR="00436E3E" w:rsidRPr="00481D0E" w:rsidRDefault="00436E3E" w:rsidP="00FC78EC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481D0E">
              <w:rPr>
                <w:rFonts w:asciiTheme="minorHAnsi" w:hAnsiTheme="minorHAnsi" w:cstheme="minorHAnsi"/>
                <w:lang w:val="pl-PL"/>
              </w:rPr>
              <w:t xml:space="preserve">Klapa serwisowa </w:t>
            </w:r>
            <w:r w:rsidRPr="00436E3E">
              <w:rPr>
                <w:rFonts w:asciiTheme="minorHAnsi" w:hAnsiTheme="minorHAnsi" w:cstheme="minorHAnsi"/>
                <w:lang w:val="pl-PL"/>
              </w:rPr>
              <w:t>umożliwiająca</w:t>
            </w:r>
            <w:r w:rsidRPr="00481D0E">
              <w:rPr>
                <w:rFonts w:asciiTheme="minorHAnsi" w:hAnsiTheme="minorHAnsi" w:cstheme="minorHAnsi"/>
                <w:lang w:val="pl-PL"/>
              </w:rPr>
              <w:t xml:space="preserve"> bezpośredni dostęp do dysków HDD, SSD oraz pamięci ram, bez konieczności odkręcania całej dolnej pokrywy laptopa</w:t>
            </w:r>
            <w:r w:rsidR="00586922" w:rsidRPr="00481D0E">
              <w:rPr>
                <w:rFonts w:asciiTheme="minorHAnsi" w:hAnsiTheme="minorHAnsi" w:cstheme="minorHAnsi"/>
                <w:lang w:val="pl-PL"/>
              </w:rPr>
              <w:t>.</w:t>
            </w:r>
          </w:p>
          <w:p w:rsidR="00436E3E" w:rsidRPr="00481D0E" w:rsidRDefault="00436E3E" w:rsidP="00FC78EC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481D0E">
              <w:rPr>
                <w:rFonts w:asciiTheme="minorHAnsi" w:hAnsiTheme="minorHAnsi" w:cstheme="minorHAnsi"/>
                <w:lang w:val="pl-PL"/>
              </w:rPr>
              <w:t>Zamawiający uzna za równoważny zapis, że laptop po</w:t>
            </w:r>
            <w:r w:rsidR="00586922" w:rsidRPr="00481D0E">
              <w:rPr>
                <w:rFonts w:asciiTheme="minorHAnsi" w:hAnsiTheme="minorHAnsi" w:cstheme="minorHAnsi"/>
                <w:lang w:val="pl-PL"/>
              </w:rPr>
              <w:t xml:space="preserve">siada klapę serwisową </w:t>
            </w:r>
            <w:r w:rsidR="00586922" w:rsidRPr="00586922">
              <w:rPr>
                <w:rFonts w:asciiTheme="minorHAnsi" w:hAnsiTheme="minorHAnsi" w:cstheme="minorHAnsi"/>
                <w:lang w:val="pl-PL"/>
              </w:rPr>
              <w:t>stanowiącą</w:t>
            </w:r>
            <w:r w:rsidR="00586922" w:rsidRPr="00481D0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586922" w:rsidRPr="00586922">
              <w:rPr>
                <w:rFonts w:asciiTheme="minorHAnsi" w:hAnsiTheme="minorHAnsi" w:cstheme="minorHAnsi"/>
                <w:lang w:val="pl-PL"/>
              </w:rPr>
              <w:t>dolną</w:t>
            </w:r>
            <w:r w:rsidRPr="00481D0E">
              <w:rPr>
                <w:rFonts w:asciiTheme="minorHAnsi" w:hAnsiTheme="minorHAnsi" w:cstheme="minorHAnsi"/>
                <w:lang w:val="pl-PL"/>
              </w:rPr>
              <w:t xml:space="preserve"> część obudowy laptopa , pod warunkiem, że:</w:t>
            </w:r>
          </w:p>
          <w:p w:rsidR="00436E3E" w:rsidRPr="00481D0E" w:rsidRDefault="00436E3E" w:rsidP="00FC78EC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481D0E">
              <w:rPr>
                <w:rFonts w:asciiTheme="minorHAnsi" w:hAnsiTheme="minorHAnsi" w:cstheme="minorHAnsi"/>
                <w:lang w:val="pl-PL"/>
              </w:rPr>
              <w:t xml:space="preserve">1. Dolna część obudowy nie będzie stanowiła podstawy elektroniki i laptopa 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81D0E">
              <w:rPr>
                <w:rFonts w:cstheme="minorHAnsi"/>
                <w:sz w:val="24"/>
                <w:szCs w:val="24"/>
                <w:lang w:val="pl-PL"/>
              </w:rPr>
              <w:t>2. Odkręcenie dolnej części obudowy pozwoli Zamawiającemu na swobodny dostęp do urządzenia w celu wymiany pamięci lub dysku bez utraty gwarancji</w:t>
            </w:r>
            <w:r w:rsidR="00586922" w:rsidRPr="00481D0E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BIOS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BIOS zgodny ze specyfikacją UEFI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Możliwość przeprowadzenia inwentaryzacji sprzętowej poprzez wyświetlenie informacji o: wersji BIOS, numerze seryjnym i dacie produkcji komputera, wielkości, prędkości i sposobie obsadzenia zainstalowanej pamięci RAM</w:t>
            </w:r>
            <w:r w:rsidR="00586922">
              <w:rPr>
                <w:rFonts w:cstheme="minorHAnsi"/>
                <w:bCs/>
                <w:sz w:val="24"/>
                <w:szCs w:val="24"/>
                <w:lang w:val="pl-PL"/>
              </w:rPr>
              <w:t xml:space="preserve">, </w:t>
            </w: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typie zainstalowanego procesora, zainstalowanym dysku twardym (pojemność, model), MAC adresie wbudowanej w płytę główną karty sieciowej.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Funkcja blokowania/odblokowania portów USB</w:t>
            </w:r>
            <w:r w:rsidR="00586922">
              <w:rPr>
                <w:rFonts w:cstheme="minorHAnsi"/>
                <w:bCs/>
                <w:sz w:val="24"/>
                <w:szCs w:val="24"/>
                <w:lang w:val="pl-PL"/>
              </w:rPr>
              <w:t>.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Możliwość, ustawienia hasła dla administratora oraz użytkownika dla BIOS’u, po podaniu hasła użytkownika możliwość jedynie odczytania informacji, brak możliwości wł/wy funkcji. Hasła silne opatrzone o litery, cyfry i znaki specjalne.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Możliwość przypisania w BIOS numeru nadawanego przez Administratora.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t>Bezpieczeństwo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System diagnostyczny z graficzny interfejsem dostępny z poziomu BIOS lub menu BOOT’owania umożliwiający użytkownikowi przeprowadzenie wstępnej diagnostyki awarii poprzez przetestowanie: procesora, pami</w:t>
            </w:r>
            <w:r w:rsidR="00586922">
              <w:rPr>
                <w:rFonts w:cstheme="minorHAnsi"/>
                <w:bCs/>
                <w:sz w:val="24"/>
                <w:szCs w:val="24"/>
                <w:lang w:val="pl-PL"/>
              </w:rPr>
              <w:t>ęci RAM, dysku, płyty głównej i </w:t>
            </w: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wyświetlacza. Pełna funkcjonalność systemu diagnostycznego musi być dostępna również w przypadku braku lub uszkodzenia oraz sformatowania dysku twardego, braku dostępu do sieci LAN i internetu oraz nie może być realizowana przez narzędzia zewnętrzne podłączane do komputera (np. pamięć USB flash).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 xml:space="preserve">Dedykowany układ szyfrujący TPM 2.0 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>Certyfikaty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Certyfikat ISO 9001 dla producenta sprzętu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Certyfikat ISO 14001 dla producenta sprzętu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Deklaracja zgodności CE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6885" w:type="dxa"/>
          </w:tcPr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Zainstalowany system operacyjny min. Windows 10 Home (Pro) 64-bit lub równoważny spełniający następujące wymagania, poprzez wbudowane mechanizmy, bez użycia dodatkowych aplikacji: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1.     Licencja bezterminowa.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2.     Polska wersja językowa.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3.     System operacyjny powinien być dostarczony w najnowszej oferowanej przez producenta wersji.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4.     Aktualizacje funkcji dla systemu operacyjnego.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5.     Obsługa procesorów wielordzeniowych.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6.     Graficzny okienkowy interfejs użytkownika.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7.     Obsługa co najmniej 8 GB RAM.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8.     Dostęp do aktualizacji w ramach zaoferowanej wersji systemu operacyjnego przez Internet bez dodatkowych opłat.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9.     Wbudowana zapora internetowa (firewall) dla ochrony połączeń internetowych.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10.   Możliwość zdalnej automatycznej instalacji, konfiguracji, administrowania oraz aktualizowania systemu.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11.   Zabezpieczony hasłem hierarchiczny dostęp do systemu, konta i profile użytkowników zarządzane zdalnie; praca systemu w trybie ochrony kont użytkowników.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12.   Możliwość przystosowania stanowiska dla osób niepełnosprawnych: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lupa powiększająca zawartość ekranu,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narrator odczytujący zawartość ekranu,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regulacja jasności i kontrastu ekranu,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możliwość odwrócenia kolorów np. biały tekst na czarnym tle,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 xml:space="preserve">●        poprawa widoczności elementów ekranu np. regulowanie grubości kursora myszy - małej strzałki na ekranie, wskazującej </w:t>
            </w: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lastRenderedPageBreak/>
              <w:t>lokalizację myszy i czasu trwania powiadomień systemowych,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funkcja sterowania myszą z klawiatury numerycznej,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funkcja klawiszy trwałych, która sprawia, że skrót klawiszowy jest uruchamiany po naciśnięciu jednego klawisza,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korzystanie z wizualnych rozwiązań alternatywnych wobec dźwięków,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funkcja napisów w treściach wideo,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●        możliwość skorzystania z wizualnych rozwiązań alternatywnych wobec dźwięków;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16.   Możliwość zarządzania stacją roboczą poprzez polityki.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17.   System musi posiadać narzędzia służące do administracji, wykonywania kopii zapasowych polityk i ich odtwarzania oraz generowania raportów z ustawień polityk.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18.   Wsparcie dla min. Sun Java i .NET Framework 1.1 i 2.0 i 3.0 i 4.5 – umożliwiających uruchomienie aplikacji działających we wskazanych środowiskach.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 xml:space="preserve">19.   Wsparcie dla min. JScript i </w:t>
            </w:r>
            <w:proofErr w:type="spellStart"/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VBScript</w:t>
            </w:r>
            <w:proofErr w:type="spellEnd"/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 xml:space="preserve"> - możliwość uruchamiania interpretera poleceń.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20.   Rozwiązanie służące do automatycznego zbudowania obrazu systemu wraz z aplikacjami. Obraz systemu służyć ma do automatycznego upowszechnienia systemu operacyjnego inicjowanego i wykonywanego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w całości poprzez sieć komputerową.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21.   Graficzne środowisko instalacji i konfiguracji.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22.   Transakcyjny system plików pozwalający na stosowanie przydziałów na dysku dla użytkowników.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23.   Zarządzanie kontami użytkowników sieci oraz urządzeniami sieciowymi tj. drukarki, modemy, woluminy dyskowe, usługi katalogowe.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24.   Oprogramowanie dla tworzenia kopii zapasowych, automatyczne wykonywanie kopii plików z możliwością automatycznego przywrócenia wersji wcześniejszej.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t>25.   Możliwość przywracania plików systemowych.</w:t>
            </w:r>
          </w:p>
          <w:p w:rsidR="00436E3E" w:rsidRPr="00481D0E" w:rsidRDefault="00436E3E" w:rsidP="00FC78EC">
            <w:pPr>
              <w:rPr>
                <w:rFonts w:eastAsia="Tahoma" w:cstheme="minorHAnsi"/>
                <w:sz w:val="24"/>
                <w:szCs w:val="24"/>
                <w:lang w:val="pl-PL"/>
              </w:rPr>
            </w:pPr>
            <w:r w:rsidRPr="00481D0E">
              <w:rPr>
                <w:rFonts w:eastAsia="Tahoma" w:cstheme="minorHAnsi"/>
                <w:sz w:val="24"/>
                <w:szCs w:val="24"/>
                <w:lang w:val="pl-PL"/>
              </w:rPr>
              <w:lastRenderedPageBreak/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6885" w:type="dxa"/>
          </w:tcPr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>Wbudowane porty i złącza: HDMI 1.4, RJ-45 (karta sieciowa wbudowana), min. 3xUSB w tym min. 2 port USB 3.2 gen1 typ-A, czytnik kart SD 3.0, złącze zasilania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sz w:val="24"/>
                <w:szCs w:val="24"/>
                <w:lang w:val="pl-PL"/>
              </w:rPr>
              <w:t>Zintegrowana w postaci wewnętrznego modułu mini-PCI Express karta sieci WLAN 802.11AC</w:t>
            </w:r>
            <w:r w:rsidRPr="00436E3E">
              <w:rPr>
                <w:rFonts w:cstheme="minorHAnsi"/>
                <w:color w:val="00B050"/>
                <w:sz w:val="24"/>
                <w:szCs w:val="24"/>
                <w:lang w:val="pl-PL"/>
              </w:rPr>
              <w:t>,</w:t>
            </w:r>
            <w:r w:rsidRPr="00436E3E">
              <w:rPr>
                <w:rFonts w:cstheme="minorHAnsi"/>
                <w:sz w:val="24"/>
                <w:szCs w:val="24"/>
                <w:lang w:val="pl-PL"/>
              </w:rPr>
              <w:t xml:space="preserve"> moduł bluetooth 4.1 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Klawiatura (układ US - QWERTY) z wydzieloną klawiaturą numeryczną, t</w:t>
            </w:r>
            <w:r w:rsidRPr="00436E3E">
              <w:rPr>
                <w:rFonts w:cstheme="minorHAnsi"/>
                <w:sz w:val="24"/>
                <w:szCs w:val="24"/>
                <w:lang w:val="pl-PL"/>
              </w:rPr>
              <w:t>ouchpad z strefą przewijania w pionie, poziomie wraz z obsługą gestów</w:t>
            </w:r>
          </w:p>
        </w:tc>
      </w:tr>
      <w:tr w:rsidR="00436E3E" w:rsidRPr="00436E3E" w:rsidTr="00436E3E">
        <w:tc>
          <w:tcPr>
            <w:tcW w:w="2177" w:type="dxa"/>
            <w:shd w:val="clear" w:color="auto" w:fill="auto"/>
            <w:vAlign w:val="center"/>
          </w:tcPr>
          <w:p w:rsidR="00436E3E" w:rsidRPr="00436E3E" w:rsidRDefault="00436E3E" w:rsidP="00436E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6E3E">
              <w:rPr>
                <w:rFonts w:cstheme="minorHAnsi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6885" w:type="dxa"/>
          </w:tcPr>
          <w:p w:rsidR="00586922" w:rsidRPr="00076FCE" w:rsidRDefault="00586922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>Min. 24 miesięczna</w:t>
            </w:r>
            <w:r w:rsidR="00436E3E" w:rsidRPr="00076FCE">
              <w:rPr>
                <w:rFonts w:cstheme="minorHAnsi"/>
                <w:bCs/>
                <w:sz w:val="24"/>
                <w:szCs w:val="24"/>
                <w:lang w:val="pl-PL"/>
              </w:rPr>
              <w:t xml:space="preserve"> gwarancja producenta świadczona na miejscu u klienta.</w:t>
            </w:r>
          </w:p>
          <w:p w:rsidR="00586922" w:rsidRDefault="00586922" w:rsidP="00FC78EC">
            <w:pPr>
              <w:jc w:val="both"/>
              <w:rPr>
                <w:rFonts w:cstheme="minorHAnsi"/>
                <w:bCs/>
                <w:sz w:val="24"/>
                <w:szCs w:val="24"/>
                <w:highlight w:val="yellow"/>
                <w:lang w:val="pl-PL"/>
              </w:rPr>
            </w:pPr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 xml:space="preserve">UWAGA: Gwarancja jest jednym z kryterium oceny ofert. Wykonawca może zaproponować przedłużony okres gwarancji tj. 36 miesięcy lub 48 miesięcy, Szczegółowe warunki oceny ofert w kryterium gwarancja </w:t>
            </w:r>
            <w:r w:rsidRPr="00481D0E">
              <w:rPr>
                <w:rFonts w:cstheme="minorHAnsi"/>
                <w:bCs/>
                <w:sz w:val="24"/>
                <w:szCs w:val="24"/>
                <w:lang w:val="pl-PL"/>
              </w:rPr>
              <w:t>pisane w rozdziale XVI</w:t>
            </w:r>
            <w:r w:rsidR="00481D0E" w:rsidRPr="00481D0E">
              <w:rPr>
                <w:rFonts w:cstheme="minorHAnsi"/>
                <w:bCs/>
                <w:sz w:val="24"/>
                <w:szCs w:val="24"/>
                <w:lang w:val="pl-PL"/>
              </w:rPr>
              <w:t>I</w:t>
            </w:r>
            <w:r w:rsidRPr="00481D0E">
              <w:rPr>
                <w:rFonts w:cstheme="minorHAnsi"/>
                <w:bCs/>
                <w:sz w:val="24"/>
                <w:szCs w:val="24"/>
                <w:lang w:val="pl-PL"/>
              </w:rPr>
              <w:t>I SWZ</w:t>
            </w:r>
            <w:r w:rsidR="00481D0E">
              <w:rPr>
                <w:rFonts w:cstheme="minorHAnsi"/>
                <w:bCs/>
                <w:sz w:val="24"/>
                <w:szCs w:val="24"/>
                <w:lang w:val="pl-PL"/>
              </w:rPr>
              <w:t>.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922">
              <w:rPr>
                <w:rFonts w:cstheme="minorHAnsi"/>
                <w:bCs/>
                <w:sz w:val="24"/>
                <w:szCs w:val="24"/>
                <w:lang w:val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:rsidR="00436E3E" w:rsidRPr="00076FCE" w:rsidRDefault="00436E3E" w:rsidP="00FC78EC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>Firma serwisująca musi posiadać ISO 9001: 2015 na świadczenie usług serwisowych oraz posiadać autoryzacje producenta komputera.</w:t>
            </w:r>
          </w:p>
          <w:p w:rsidR="00436E3E" w:rsidRPr="00436E3E" w:rsidRDefault="00436E3E" w:rsidP="00FC78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076FCE">
              <w:rPr>
                <w:rFonts w:cstheme="minorHAnsi"/>
                <w:bCs/>
                <w:sz w:val="24"/>
                <w:szCs w:val="24"/>
                <w:lang w:val="pl-PL"/>
              </w:rPr>
              <w:t>Oświadczenie producenta, że w przypadku nie wywiązywania się z obowiązków gwarancyjnych oferenta lub firmy serwisującej</w:t>
            </w:r>
            <w:r w:rsidRPr="00436E3E">
              <w:rPr>
                <w:rFonts w:cstheme="minorHAnsi"/>
                <w:bCs/>
                <w:sz w:val="24"/>
                <w:szCs w:val="24"/>
                <w:lang w:val="pl-PL"/>
              </w:rPr>
              <w:t>, przejmie na siebie wszelkie zobowiązania związane z serwisem.</w:t>
            </w:r>
          </w:p>
        </w:tc>
      </w:tr>
    </w:tbl>
    <w:p w:rsidR="009535DF" w:rsidRPr="00436E3E" w:rsidRDefault="009535DF">
      <w:pPr>
        <w:rPr>
          <w:rFonts w:cstheme="minorHAnsi"/>
          <w:sz w:val="24"/>
          <w:szCs w:val="24"/>
        </w:rPr>
      </w:pPr>
    </w:p>
    <w:sectPr w:rsidR="009535DF" w:rsidRPr="00436E3E" w:rsidSect="002279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76" w:rsidRDefault="00250F76" w:rsidP="00436E3E">
      <w:pPr>
        <w:spacing w:after="0" w:line="240" w:lineRule="auto"/>
      </w:pPr>
      <w:r>
        <w:separator/>
      </w:r>
    </w:p>
  </w:endnote>
  <w:endnote w:type="continuationSeparator" w:id="0">
    <w:p w:rsidR="00250F76" w:rsidRDefault="00250F76" w:rsidP="0043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76" w:rsidRDefault="00250F76" w:rsidP="00436E3E">
      <w:pPr>
        <w:spacing w:after="0" w:line="240" w:lineRule="auto"/>
      </w:pPr>
      <w:r>
        <w:separator/>
      </w:r>
    </w:p>
  </w:footnote>
  <w:footnote w:type="continuationSeparator" w:id="0">
    <w:p w:rsidR="00250F76" w:rsidRDefault="00250F76" w:rsidP="0043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3E" w:rsidRDefault="00436E3E">
    <w:pPr>
      <w:pStyle w:val="Nagwek"/>
    </w:pPr>
    <w:r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3E"/>
    <w:rsid w:val="00076FCE"/>
    <w:rsid w:val="000F5BB7"/>
    <w:rsid w:val="0022795F"/>
    <w:rsid w:val="00250F76"/>
    <w:rsid w:val="00436E3E"/>
    <w:rsid w:val="00481D0E"/>
    <w:rsid w:val="00586922"/>
    <w:rsid w:val="00665679"/>
    <w:rsid w:val="006C2207"/>
    <w:rsid w:val="008A1E7E"/>
    <w:rsid w:val="009535DF"/>
    <w:rsid w:val="00B8273E"/>
    <w:rsid w:val="00D5344C"/>
    <w:rsid w:val="00DA1245"/>
    <w:rsid w:val="00DB7E5D"/>
    <w:rsid w:val="00E834BC"/>
    <w:rsid w:val="00F740A1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3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6E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6E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6E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E3E"/>
  </w:style>
  <w:style w:type="paragraph" w:styleId="Stopka">
    <w:name w:val="footer"/>
    <w:basedOn w:val="Normalny"/>
    <w:link w:val="StopkaZnak"/>
    <w:uiPriority w:val="99"/>
    <w:unhideWhenUsed/>
    <w:rsid w:val="0043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3E"/>
  </w:style>
  <w:style w:type="paragraph" w:styleId="Tekstdymka">
    <w:name w:val="Balloon Text"/>
    <w:basedOn w:val="Normalny"/>
    <w:link w:val="TekstdymkaZnak"/>
    <w:uiPriority w:val="99"/>
    <w:semiHidden/>
    <w:unhideWhenUsed/>
    <w:rsid w:val="0043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3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6E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6E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6E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E3E"/>
  </w:style>
  <w:style w:type="paragraph" w:styleId="Stopka">
    <w:name w:val="footer"/>
    <w:basedOn w:val="Normalny"/>
    <w:link w:val="StopkaZnak"/>
    <w:uiPriority w:val="99"/>
    <w:unhideWhenUsed/>
    <w:rsid w:val="0043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3E"/>
  </w:style>
  <w:style w:type="paragraph" w:styleId="Tekstdymka">
    <w:name w:val="Balloon Text"/>
    <w:basedOn w:val="Normalny"/>
    <w:link w:val="TekstdymkaZnak"/>
    <w:uiPriority w:val="99"/>
    <w:semiHidden/>
    <w:unhideWhenUsed/>
    <w:rsid w:val="0043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2022-06-30T06:11:00Z</dcterms:created>
  <dcterms:modified xsi:type="dcterms:W3CDTF">2022-06-30T06:11:00Z</dcterms:modified>
</cp:coreProperties>
</file>