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35B8992B" w:rsidR="00822120" w:rsidRDefault="003D0FBD" w:rsidP="00822120">
      <w:pPr>
        <w:jc w:val="both"/>
        <w:rPr>
          <w:rFonts w:cstheme="minorHAnsi"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621DDC">
        <w:rPr>
          <w:rFonts w:cstheme="minorHAnsi"/>
          <w:b/>
          <w:bCs/>
          <w:i/>
          <w:iCs/>
        </w:rPr>
        <w:t xml:space="preserve">Dostawa </w:t>
      </w:r>
      <w:r w:rsidR="00835CBA">
        <w:rPr>
          <w:rFonts w:cstheme="minorHAnsi"/>
          <w:b/>
          <w:bCs/>
          <w:i/>
          <w:iCs/>
        </w:rPr>
        <w:t>materiałów budowlanych wykończeniowych</w:t>
      </w:r>
      <w:r w:rsidR="00352A60">
        <w:rPr>
          <w:rFonts w:cstheme="minorHAnsi"/>
          <w:b/>
          <w:bCs/>
          <w:i/>
          <w:iCs/>
        </w:rPr>
        <w:t xml:space="preserve"> do Aresztu Śledczego w Radomiu” </w:t>
      </w:r>
      <w:r w:rsidR="00585086">
        <w:rPr>
          <w:rFonts w:cstheme="minorHAnsi"/>
          <w:b/>
          <w:bCs/>
          <w:i/>
          <w:iCs/>
        </w:rPr>
        <w:t>symbol DKW.2233.</w:t>
      </w:r>
      <w:r w:rsidR="00202CF8">
        <w:rPr>
          <w:rFonts w:cstheme="minorHAnsi"/>
          <w:b/>
          <w:bCs/>
          <w:i/>
          <w:iCs/>
        </w:rPr>
        <w:t>68</w:t>
      </w:r>
      <w:bookmarkStart w:id="2" w:name="_GoBack"/>
      <w:bookmarkEnd w:id="2"/>
      <w:r w:rsidR="00A12100">
        <w:rPr>
          <w:rFonts w:cstheme="minorHAnsi"/>
          <w:b/>
          <w:bCs/>
          <w:i/>
          <w:iCs/>
        </w:rPr>
        <w:t>.</w:t>
      </w:r>
      <w:r w:rsidR="00412655">
        <w:rPr>
          <w:rFonts w:cstheme="minorHAnsi"/>
          <w:b/>
          <w:bCs/>
          <w:i/>
          <w:iCs/>
        </w:rPr>
        <w:t>202</w:t>
      </w:r>
      <w:r w:rsidR="00A12100">
        <w:rPr>
          <w:rFonts w:cstheme="minorHAnsi"/>
          <w:b/>
          <w:bCs/>
          <w:i/>
          <w:iCs/>
        </w:rPr>
        <w:t>4</w:t>
      </w:r>
      <w:r w:rsidR="00412655">
        <w:rPr>
          <w:rFonts w:cstheme="minorHAnsi"/>
          <w:b/>
          <w:bCs/>
          <w:i/>
          <w:iCs/>
        </w:rPr>
        <w:t>.</w:t>
      </w:r>
      <w:r w:rsidR="00E820AF">
        <w:rPr>
          <w:rFonts w:cstheme="minorHAnsi"/>
          <w:b/>
          <w:bCs/>
          <w:i/>
          <w:iCs/>
        </w:rPr>
        <w:t>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B47D1" w14:textId="77777777" w:rsidR="00FA4BDF" w:rsidRDefault="00FA4BDF" w:rsidP="00C673E9">
      <w:pPr>
        <w:spacing w:after="0" w:line="240" w:lineRule="auto"/>
      </w:pPr>
      <w:r>
        <w:separator/>
      </w:r>
    </w:p>
  </w:endnote>
  <w:endnote w:type="continuationSeparator" w:id="0">
    <w:p w14:paraId="7177F03D" w14:textId="77777777" w:rsidR="00FA4BDF" w:rsidRDefault="00FA4BDF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CB201" w14:textId="77777777" w:rsidR="00FA4BDF" w:rsidRDefault="00FA4BDF" w:rsidP="00C673E9">
      <w:pPr>
        <w:spacing w:after="0" w:line="240" w:lineRule="auto"/>
      </w:pPr>
      <w:r>
        <w:separator/>
      </w:r>
    </w:p>
  </w:footnote>
  <w:footnote w:type="continuationSeparator" w:id="0">
    <w:p w14:paraId="21BD0FE1" w14:textId="77777777" w:rsidR="00FA4BDF" w:rsidRDefault="00FA4BDF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1B7FE2"/>
    <w:rsid w:val="00202CF8"/>
    <w:rsid w:val="002B2B49"/>
    <w:rsid w:val="002D0E2F"/>
    <w:rsid w:val="00352A60"/>
    <w:rsid w:val="0038227D"/>
    <w:rsid w:val="003A7F08"/>
    <w:rsid w:val="003D0FBD"/>
    <w:rsid w:val="004057A3"/>
    <w:rsid w:val="00412655"/>
    <w:rsid w:val="004A6263"/>
    <w:rsid w:val="00585086"/>
    <w:rsid w:val="005B03EC"/>
    <w:rsid w:val="005F65EF"/>
    <w:rsid w:val="00613A77"/>
    <w:rsid w:val="00621DDC"/>
    <w:rsid w:val="00771AEF"/>
    <w:rsid w:val="00822120"/>
    <w:rsid w:val="00835CBA"/>
    <w:rsid w:val="009470AF"/>
    <w:rsid w:val="00954DC2"/>
    <w:rsid w:val="00992ADA"/>
    <w:rsid w:val="00A12100"/>
    <w:rsid w:val="00A25F2B"/>
    <w:rsid w:val="00B23FDA"/>
    <w:rsid w:val="00B244D1"/>
    <w:rsid w:val="00B269C4"/>
    <w:rsid w:val="00C00F31"/>
    <w:rsid w:val="00C32565"/>
    <w:rsid w:val="00C673E9"/>
    <w:rsid w:val="00CD4EB4"/>
    <w:rsid w:val="00D215AF"/>
    <w:rsid w:val="00D33AC1"/>
    <w:rsid w:val="00DC5373"/>
    <w:rsid w:val="00DD6381"/>
    <w:rsid w:val="00DF2B72"/>
    <w:rsid w:val="00E016C9"/>
    <w:rsid w:val="00E71AEC"/>
    <w:rsid w:val="00E778E2"/>
    <w:rsid w:val="00E820AF"/>
    <w:rsid w:val="00E97C64"/>
    <w:rsid w:val="00EB2D06"/>
    <w:rsid w:val="00EF182A"/>
    <w:rsid w:val="00F61A3E"/>
    <w:rsid w:val="00F923F4"/>
    <w:rsid w:val="00F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0143A-C61C-4A0A-9E5F-ADEB3C3B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4</cp:revision>
  <cp:lastPrinted>2024-11-29T09:47:00Z</cp:lastPrinted>
  <dcterms:created xsi:type="dcterms:W3CDTF">2024-04-29T07:02:00Z</dcterms:created>
  <dcterms:modified xsi:type="dcterms:W3CDTF">2024-11-29T09:47:00Z</dcterms:modified>
</cp:coreProperties>
</file>