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C1B" w14:textId="5E97B7EA" w:rsidR="00297BEE" w:rsidRDefault="00BF2356" w:rsidP="00DD530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32A40">
        <w:rPr>
          <w:rFonts w:ascii="Century Gothic" w:hAnsi="Century Gothic"/>
          <w:b/>
          <w:u w:val="single"/>
        </w:rPr>
        <w:t xml:space="preserve">ODPOWIEDZI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 xml:space="preserve">NA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 xml:space="preserve">PYTANA </w:t>
      </w:r>
      <w:r w:rsidR="00030730">
        <w:rPr>
          <w:rFonts w:ascii="Century Gothic" w:hAnsi="Century Gothic"/>
          <w:b/>
          <w:u w:val="single"/>
        </w:rPr>
        <w:t>DO SWZ</w:t>
      </w:r>
      <w:r w:rsidR="00EB624D">
        <w:rPr>
          <w:rFonts w:ascii="Century Gothic" w:hAnsi="Century Gothic"/>
          <w:b/>
          <w:u w:val="single"/>
        </w:rPr>
        <w:t xml:space="preserve"> II</w:t>
      </w:r>
    </w:p>
    <w:p w14:paraId="389BFF92" w14:textId="53A85AE1" w:rsidR="00DD5303" w:rsidRDefault="00DD5303" w:rsidP="00DD530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4AD651D" w14:textId="0D101FE2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A653ED" w:rsidRPr="007D052D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="00030730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AF6E62" w:rsidRPr="007D052D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 w:rsidRPr="007D052D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1720212C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F3437A">
        <w:rPr>
          <w:rFonts w:ascii="Century Gothic" w:eastAsia="Times New Roman" w:hAnsi="Century Gothic"/>
          <w:sz w:val="18"/>
          <w:szCs w:val="18"/>
          <w:lang w:eastAsia="ar-SA"/>
        </w:rPr>
        <w:t>23</w:t>
      </w:r>
      <w:r w:rsidR="00FE1CB6">
        <w:rPr>
          <w:rFonts w:ascii="Century Gothic" w:eastAsia="Times New Roman" w:hAnsi="Century Gothic"/>
          <w:sz w:val="18"/>
          <w:szCs w:val="18"/>
          <w:lang w:eastAsia="ar-SA"/>
        </w:rPr>
        <w:t>.08.2022</w:t>
      </w:r>
    </w:p>
    <w:p w14:paraId="586605F0" w14:textId="77777777" w:rsidR="00243F3B" w:rsidRPr="007D052D" w:rsidRDefault="00243F3B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04F591E2" w14:textId="77777777" w:rsidR="00297BEE" w:rsidRPr="007D052D" w:rsidRDefault="00297BEE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28D5E745" w14:textId="0733D3E9" w:rsidR="00243F3B" w:rsidRPr="007D052D" w:rsidRDefault="00AF6E62" w:rsidP="00B32A40">
      <w:pPr>
        <w:spacing w:after="0" w:line="240" w:lineRule="auto"/>
        <w:ind w:left="993" w:hanging="993"/>
        <w:jc w:val="both"/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</w:pPr>
      <w:r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postępowani</w:t>
      </w:r>
      <w:r w:rsidR="00DB1192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a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o udzielenie zamówienia publicznego</w:t>
      </w:r>
      <w:r w:rsidR="0019251D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na dostawy </w:t>
      </w:r>
      <w:r w:rsidR="00030730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produktów farmaceutycznych.</w:t>
      </w:r>
    </w:p>
    <w:p w14:paraId="42162CFD" w14:textId="31160F78" w:rsidR="00A019CF" w:rsidRPr="007D052D" w:rsidRDefault="00A019CF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bookmarkEnd w:id="0"/>
    <w:p w14:paraId="6F3E8B9A" w14:textId="611AF70D" w:rsidR="00BF2356" w:rsidRPr="007D052D" w:rsidRDefault="00BF2356" w:rsidP="007D052D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bookmarkStart w:id="1" w:name="_Hlk104297427"/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Zgodnie  z art. 284 ust. 2  ustawy z dnia 11 września 2019 roku Prawo zamówień publicznych                                   (Dz. U.  z 2021 roku, poz. 1129), Zamawiający udziela odpowiedzi na następujące pytania do SWZ:</w:t>
      </w:r>
    </w:p>
    <w:p w14:paraId="4D7E74CD" w14:textId="77777777" w:rsidR="00BF2356" w:rsidRPr="007D052D" w:rsidRDefault="00BF2356" w:rsidP="007D052D">
      <w:pPr>
        <w:shd w:val="clear" w:color="auto" w:fill="FFFFFF"/>
        <w:spacing w:after="0" w:line="240" w:lineRule="auto"/>
        <w:jc w:val="both"/>
        <w:rPr>
          <w:rFonts w:ascii="Century Gothic" w:hAnsi="Century Gothic" w:cs="Calibri"/>
          <w:color w:val="666666"/>
          <w:sz w:val="18"/>
          <w:szCs w:val="18"/>
          <w:lang w:eastAsia="pl-PL"/>
        </w:rPr>
      </w:pPr>
    </w:p>
    <w:bookmarkEnd w:id="1"/>
    <w:p w14:paraId="68353139" w14:textId="51AE273D" w:rsidR="00297BEE" w:rsidRPr="007D052D" w:rsidRDefault="00D63712" w:rsidP="007D052D">
      <w:pPr>
        <w:spacing w:after="0" w:line="240" w:lineRule="auto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7D052D"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3D414AF9" w14:textId="483585BA" w:rsidR="00CE58A0" w:rsidRPr="00CF5304" w:rsidRDefault="00A653ED" w:rsidP="007D052D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  <w:proofErr w:type="spellStart"/>
      <w:r w:rsidRPr="00CF5304"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  <w:t>Wykonawca</w:t>
      </w:r>
      <w:proofErr w:type="spellEnd"/>
      <w:r w:rsidRPr="00CF5304"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  <w:t xml:space="preserve"> 1</w:t>
      </w:r>
    </w:p>
    <w:p w14:paraId="48580264" w14:textId="2C741274" w:rsidR="00A653ED" w:rsidRPr="00CF5304" w:rsidRDefault="00A653ED" w:rsidP="007D052D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</w:p>
    <w:p w14:paraId="1FE95918" w14:textId="259BAEE6" w:rsidR="00DD4135" w:rsidRPr="00971939" w:rsidRDefault="00971939" w:rsidP="00DD4135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  <w:r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Pyt. 1.: </w:t>
      </w:r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>Czy zamawiający w pakiecie 6 pozycji  72,74,75 wymaga diety polimerycznej zawierającej cztery rodzaje białka : kazeina, serwatka, soja,  groch -  taki rodzaj białka, zarówno pochodzenia roślinnego i zwierzęcego wpisuje się w najbardziej optymalną dietę i jest zgodny z wytycznymi WHO/FAO? Pozostałe parametry zgodnie z SWZ.</w:t>
      </w:r>
      <w:r>
        <w:rPr>
          <w:rFonts w:ascii="Century Gothic" w:hAnsi="Century Gothic" w:cs="Calibri"/>
          <w:sz w:val="18"/>
          <w:szCs w:val="18"/>
          <w:lang w:eastAsia="pl-PL"/>
        </w:rPr>
        <w:br/>
      </w:r>
      <w:r w:rsidRPr="00971939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Odp.: </w:t>
      </w:r>
      <w:r w:rsidR="00F3437A">
        <w:rPr>
          <w:rFonts w:ascii="Century Gothic" w:hAnsi="Century Gothic" w:cs="Calibri"/>
          <w:b/>
          <w:bCs/>
          <w:sz w:val="18"/>
          <w:szCs w:val="18"/>
          <w:lang w:eastAsia="pl-PL"/>
        </w:rPr>
        <w:t>Tak, wymaga</w:t>
      </w:r>
    </w:p>
    <w:p w14:paraId="560BADDB" w14:textId="77777777" w:rsidR="00DD4135" w:rsidRPr="00DD4135" w:rsidRDefault="00DD4135" w:rsidP="00DD4135">
      <w:pPr>
        <w:spacing w:after="0" w:line="240" w:lineRule="auto"/>
        <w:rPr>
          <w:rFonts w:ascii="Century Gothic" w:hAnsi="Century Gothic" w:cs="Calibri"/>
          <w:sz w:val="18"/>
          <w:szCs w:val="18"/>
          <w:lang w:eastAsia="pl-PL"/>
        </w:rPr>
      </w:pPr>
    </w:p>
    <w:p w14:paraId="191996FC" w14:textId="6EA0B344" w:rsidR="00DD4135" w:rsidRPr="00F3437A" w:rsidRDefault="00971939" w:rsidP="00DD4135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  <w:r w:rsidRPr="00971939">
        <w:rPr>
          <w:rFonts w:ascii="Century Gothic" w:hAnsi="Century Gothic" w:cs="Calibri"/>
          <w:b/>
          <w:bCs/>
          <w:sz w:val="18"/>
          <w:szCs w:val="18"/>
          <w:lang w:eastAsia="pl-PL"/>
        </w:rPr>
        <w:t>Pyt. 2.:</w:t>
      </w:r>
      <w:r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 xml:space="preserve">Czy Zamawiający w pakiecie  6 w pozycji 73  prosząc o dietę </w:t>
      </w:r>
      <w:proofErr w:type="spellStart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>bogatoresztkową</w:t>
      </w:r>
      <w:proofErr w:type="spellEnd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 xml:space="preserve"> wymaga diety zawierającej minimum 6 rodzajów błonnika? W składzie diety dojelitowej powinna znajdować się mieszanina różnych błonników, w tym </w:t>
      </w:r>
      <w:proofErr w:type="spellStart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>probiotyk</w:t>
      </w:r>
      <w:proofErr w:type="spellEnd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 xml:space="preserve"> np. inulina. Błonnik rozpuszczalny(beta-glukany, pektyn, gumy np. guma </w:t>
      </w:r>
      <w:proofErr w:type="spellStart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>guar</w:t>
      </w:r>
      <w:proofErr w:type="spellEnd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 xml:space="preserve">, śluzy roślinne, </w:t>
      </w:r>
      <w:proofErr w:type="spellStart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>fruktooligasacharydy</w:t>
      </w:r>
      <w:proofErr w:type="spellEnd"/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>, niektóre hemicelulozy) potrzebne są dla mikroflory jelita grubego. Błonnik nierozpuszczalny (skrobia oporna, celuloza, niektóre pektyny, niektóre hemicelulozy, ligniny) zwiększa objętość treści pokarmowej w jelicie cienkim, pobudza ukrwienie jelit, przez mechaniczne drażnienie ścian jelita grubego pobudza jego perystaltykę, chroni przed uchyłkowatością jelit, wpływa na wydzielanie hormonów przewodu pokarmowego (np. gastryny). Pozostałe parametry zgodnie z SWZ.</w:t>
      </w:r>
      <w:r>
        <w:rPr>
          <w:rFonts w:ascii="Century Gothic" w:hAnsi="Century Gothic" w:cs="Calibri"/>
          <w:sz w:val="18"/>
          <w:szCs w:val="18"/>
          <w:lang w:eastAsia="pl-PL"/>
        </w:rPr>
        <w:br/>
      </w:r>
      <w:r w:rsidRPr="00F3437A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Odp.: </w:t>
      </w:r>
      <w:r w:rsidR="00F3437A">
        <w:rPr>
          <w:rFonts w:ascii="Century Gothic" w:hAnsi="Century Gothic" w:cs="Calibri"/>
          <w:b/>
          <w:bCs/>
          <w:sz w:val="18"/>
          <w:szCs w:val="18"/>
          <w:lang w:eastAsia="pl-PL"/>
        </w:rPr>
        <w:t>Tak, wymaga</w:t>
      </w:r>
    </w:p>
    <w:p w14:paraId="05C1EEA8" w14:textId="77777777" w:rsidR="00DD4135" w:rsidRPr="00DD4135" w:rsidRDefault="00DD4135" w:rsidP="00DD4135">
      <w:pPr>
        <w:spacing w:after="0" w:line="240" w:lineRule="auto"/>
        <w:rPr>
          <w:rFonts w:ascii="Century Gothic" w:hAnsi="Century Gothic" w:cs="Calibri"/>
          <w:sz w:val="18"/>
          <w:szCs w:val="18"/>
          <w:lang w:eastAsia="pl-PL"/>
        </w:rPr>
      </w:pPr>
    </w:p>
    <w:p w14:paraId="0D989856" w14:textId="68CFDFD8" w:rsidR="00550722" w:rsidRDefault="00971939" w:rsidP="00DD4135">
      <w:pPr>
        <w:spacing w:after="0" w:line="240" w:lineRule="auto"/>
        <w:rPr>
          <w:rFonts w:ascii="Century Gothic" w:hAnsi="Century Gothic" w:cs="Calibri"/>
          <w:sz w:val="18"/>
          <w:szCs w:val="18"/>
          <w:lang w:eastAsia="pl-PL"/>
        </w:rPr>
      </w:pPr>
      <w:r>
        <w:rPr>
          <w:rFonts w:ascii="Century Gothic" w:hAnsi="Century Gothic" w:cs="Calibri"/>
          <w:sz w:val="18"/>
          <w:szCs w:val="18"/>
          <w:lang w:eastAsia="pl-PL"/>
        </w:rPr>
        <w:t xml:space="preserve">Pyt. 3.: </w:t>
      </w:r>
      <w:r w:rsidR="00DD4135" w:rsidRPr="00DD4135">
        <w:rPr>
          <w:rFonts w:ascii="Century Gothic" w:hAnsi="Century Gothic" w:cs="Calibri"/>
          <w:sz w:val="18"/>
          <w:szCs w:val="18"/>
          <w:lang w:eastAsia="pl-PL"/>
        </w:rPr>
        <w:t>Czy zamawiający w pakiecie 6 pozycji 76,77 wymaga o bardzo   diety  zawierającej  maksymalnie 2g tłuszczów/100ml? Wyższa zawartość tłuszczy nie jest wskazana dla pacjentów  z problemami z trawieniem i wchłanianiem a dla takiej grupy pacjentów są dedykowane diety peptydowe. Pozostałe parametry zgodne z SWZ.</w:t>
      </w:r>
    </w:p>
    <w:p w14:paraId="57191B91" w14:textId="517BED5F" w:rsidR="00F3437A" w:rsidRDefault="00F3437A" w:rsidP="00F3437A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  <w:r w:rsidRPr="00F3437A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Odp.: </w:t>
      </w:r>
      <w:r>
        <w:rPr>
          <w:rFonts w:ascii="Century Gothic" w:hAnsi="Century Gothic" w:cs="Calibri"/>
          <w:b/>
          <w:bCs/>
          <w:sz w:val="18"/>
          <w:szCs w:val="18"/>
          <w:lang w:eastAsia="pl-PL"/>
        </w:rPr>
        <w:t>Tak, wymaga</w:t>
      </w:r>
    </w:p>
    <w:p w14:paraId="1A4E3174" w14:textId="44CBDDBF" w:rsidR="00F3437A" w:rsidRDefault="00F3437A" w:rsidP="00F3437A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</w:p>
    <w:p w14:paraId="5C06C17A" w14:textId="3F63C62B" w:rsidR="00F3437A" w:rsidRDefault="00F3437A" w:rsidP="00F3437A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Pyt. 4.: </w:t>
      </w:r>
      <w:r w:rsidRPr="00F3437A">
        <w:rPr>
          <w:rFonts w:ascii="Century Gothic" w:hAnsi="Century Gothic"/>
          <w:sz w:val="18"/>
          <w:szCs w:val="18"/>
        </w:rPr>
        <w:t>Czy pompy które są wyspecyfikowane jako użyczenie do pakietu 1 dotyczą pozycji do żywienia dojelitowego które jest obecne w pakiecie 6 w pozycjach 72-77?  Prosimy o skorygowanie tego załącznika</w:t>
      </w:r>
      <w:r>
        <w:rPr>
          <w:rFonts w:ascii="Century Gothic" w:hAnsi="Century Gothic"/>
          <w:sz w:val="18"/>
          <w:szCs w:val="18"/>
        </w:rPr>
        <w:t>.</w:t>
      </w:r>
    </w:p>
    <w:p w14:paraId="71B62AEC" w14:textId="2D8DC744" w:rsidR="00F3437A" w:rsidRDefault="00F3437A" w:rsidP="00F3437A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F3437A">
        <w:rPr>
          <w:rFonts w:ascii="Century Gothic" w:hAnsi="Century Gothic"/>
          <w:b/>
          <w:bCs/>
          <w:sz w:val="18"/>
          <w:szCs w:val="18"/>
        </w:rPr>
        <w:t>Odp.: Pompy są wymagane do Pakietu 6 poz. 72-77.</w:t>
      </w:r>
    </w:p>
    <w:p w14:paraId="332244D6" w14:textId="44B78402" w:rsidR="007B3AFD" w:rsidRDefault="007B3AFD" w:rsidP="00F3437A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4F501864" w14:textId="7D846BD1" w:rsidR="007B3AFD" w:rsidRDefault="007B3AFD" w:rsidP="00F3437A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Wykonawca 2</w:t>
      </w:r>
    </w:p>
    <w:p w14:paraId="5C292A62" w14:textId="324BDC60" w:rsidR="007B3AFD" w:rsidRDefault="007B3AFD" w:rsidP="00F3437A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1F3F46E5" w14:textId="48F3DD81" w:rsidR="007B3AFD" w:rsidRDefault="007B3AFD" w:rsidP="007B3AFD">
      <w:pPr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</w:pPr>
      <w:r w:rsidRPr="007B3AFD">
        <w:rPr>
          <w:rFonts w:ascii="Century Gothic" w:hAnsi="Century Gothic"/>
          <w:b/>
          <w:bCs/>
          <w:sz w:val="18"/>
          <w:szCs w:val="18"/>
        </w:rPr>
        <w:t>Pyt. 1.:</w:t>
      </w:r>
      <w:r w:rsidRPr="007B3AFD">
        <w:rPr>
          <w:rFonts w:ascii="Century Gothic" w:hAnsi="Century Gothic" w:cs="Helvetica"/>
          <w:color w:val="666666"/>
          <w:sz w:val="18"/>
          <w:szCs w:val="18"/>
          <w:shd w:val="clear" w:color="auto" w:fill="FFFFFF"/>
        </w:rPr>
        <w:t xml:space="preserve"> . </w:t>
      </w:r>
      <w:r w:rsidRPr="007B3AFD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Czy Zamawiający wyrazi zgodę na zaoferowanie w Zadaniu nr 6 poz. 62 produktu </w:t>
      </w:r>
      <w:proofErr w:type="spellStart"/>
      <w:r w:rsidRPr="007B3AFD">
        <w:rPr>
          <w:rFonts w:ascii="Century Gothic" w:hAnsi="Century Gothic" w:cs="Helvetica"/>
          <w:sz w:val="18"/>
          <w:szCs w:val="18"/>
          <w:shd w:val="clear" w:color="auto" w:fill="FFFFFF"/>
        </w:rPr>
        <w:t>Prothromplex</w:t>
      </w:r>
      <w:proofErr w:type="spellEnd"/>
      <w:r w:rsidRPr="007B3AFD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Total NF 600 j.m., zespół protrombiny ludzkiej (ludzki czynnik krzepnięcia II, VII, IX, X + białko C) proszek i rozpuszczalnik (20ml) do sporządzania roztworu do </w:t>
      </w:r>
      <w:proofErr w:type="spellStart"/>
      <w:r w:rsidRPr="007B3AFD">
        <w:rPr>
          <w:rFonts w:ascii="Century Gothic" w:hAnsi="Century Gothic" w:cs="Helvetica"/>
          <w:sz w:val="18"/>
          <w:szCs w:val="18"/>
          <w:shd w:val="clear" w:color="auto" w:fill="FFFFFF"/>
        </w:rPr>
        <w:t>wstrzykiwań</w:t>
      </w:r>
      <w:proofErr w:type="spellEnd"/>
      <w:r w:rsidRPr="007B3AFD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+ zestaw do podania ?</w:t>
      </w:r>
      <w:r w:rsidRPr="007B3AFD">
        <w:rPr>
          <w:rFonts w:ascii="Century Gothic" w:hAnsi="Century Gothic" w:cs="Helvetica"/>
          <w:sz w:val="18"/>
          <w:szCs w:val="18"/>
        </w:rPr>
        <w:br/>
      </w:r>
      <w:r w:rsidRPr="007B3AFD">
        <w:rPr>
          <w:rFonts w:ascii="Century Gothic" w:hAnsi="Century Gothic" w:cs="Helvetica"/>
          <w:sz w:val="18"/>
          <w:szCs w:val="18"/>
          <w:shd w:val="clear" w:color="auto" w:fill="FFFFFF"/>
        </w:rPr>
        <w:t>Jeżeli tak, prosimy o wskazanie jaką liczbę opakowań (1 opakowanie = 600 j.m.) należy przyjąć do wyceny w formularzy ofertowym.</w:t>
      </w:r>
      <w:r w:rsidRPr="007B3AFD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Pr="007B3AFD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Odp.: </w:t>
      </w:r>
      <w:r w:rsidR="00791773" w:rsidRPr="00791773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Zamawiający wyraża zgodę na </w:t>
      </w:r>
      <w:proofErr w:type="spellStart"/>
      <w:r w:rsidR="00791773" w:rsidRPr="00791773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na</w:t>
      </w:r>
      <w:proofErr w:type="spellEnd"/>
      <w:r w:rsidR="00791773" w:rsidRPr="00791773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 powyższe  , wycena 10 </w:t>
      </w:r>
      <w:proofErr w:type="spellStart"/>
      <w:r w:rsidR="00791773" w:rsidRPr="00791773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op</w:t>
      </w:r>
      <w:proofErr w:type="spellEnd"/>
    </w:p>
    <w:p w14:paraId="4E858CC2" w14:textId="7C428A1C" w:rsidR="00791773" w:rsidRPr="007B3AFD" w:rsidRDefault="00791773" w:rsidP="007B3AFD">
      <w:pPr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</w:pPr>
      <w:r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Wykonawca 3</w:t>
      </w:r>
    </w:p>
    <w:p w14:paraId="2352227F" w14:textId="1915776A" w:rsidR="007B3AFD" w:rsidRPr="007B3AFD" w:rsidRDefault="007B3AFD" w:rsidP="00F3437A">
      <w:pPr>
        <w:spacing w:after="0" w:line="240" w:lineRule="auto"/>
        <w:rPr>
          <w:rFonts w:ascii="Century Gothic" w:hAnsi="Century Gothic" w:cs="Calibri"/>
          <w:b/>
          <w:bCs/>
          <w:sz w:val="20"/>
          <w:szCs w:val="20"/>
          <w:lang w:eastAsia="pl-PL"/>
        </w:rPr>
      </w:pPr>
    </w:p>
    <w:p w14:paraId="202ABD07" w14:textId="166E2590" w:rsidR="00E029A8" w:rsidRDefault="00791773" w:rsidP="00E029A8">
      <w:pPr>
        <w:spacing w:after="0"/>
        <w:rPr>
          <w:rFonts w:ascii="Century Gothic" w:hAnsi="Century Gothic"/>
          <w:sz w:val="18"/>
          <w:szCs w:val="18"/>
        </w:rPr>
      </w:pP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lastRenderedPageBreak/>
        <w:t>Pytania do projektu umowy:</w:t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Pyt .1.: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treści §2 ust. 1 lit. c wzoru umowy: Skoro Zamawiający przewiduje dostawy sukcesywne, zgodne z bieżącym zapotrzebowaniem, czyli nie przewiduje konieczności dłuższego przechowywania zamówionych produktów w magazynie apteki szpitalnej, to dlaczego wyznacza warunek 6-miesięcznego okresu ważności zamówionych towarów? Wskazujemy przy tym, że zgodnie z Prawem farmaceutycznym produkty lecznicze do ostatniego dnia terminu ważności są pełnowartościowe i dopuszczone do obrotu. W związku z powyższym prosimy o dopisanie do §2 ust. 1 lit. c wzoru umowy następującej treści: "Dostawy produktów z krótszym terminem ważności mogą być dopuszczone w wyjątkowych sytuacjach i każdorazowo zgodę na nie musi wyrazić upoważniony przedstawiciel Zamawiającego</w:t>
      </w:r>
      <w:r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>.”</w:t>
      </w:r>
      <w:r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</w:t>
      </w:r>
      <w:r w:rsidR="00500E4F" w:rsidRPr="003405D9">
        <w:rPr>
          <w:rFonts w:ascii="Century Gothic" w:hAnsi="Century Gothic"/>
          <w:sz w:val="18"/>
          <w:szCs w:val="18"/>
        </w:rPr>
        <w:t>Nie wyrażamy zgodny na powyższe. Zamawiający nie jest informowany o krótkich datach ważności leków. Nie jest w stanie przewidzieć</w:t>
      </w:r>
      <w:r w:rsidR="00500E4F">
        <w:rPr>
          <w:rFonts w:ascii="Century Gothic" w:hAnsi="Century Gothic"/>
          <w:sz w:val="18"/>
          <w:szCs w:val="18"/>
        </w:rPr>
        <w:t xml:space="preserve"> czy lek z krótka datą zejdzie na oddziale.</w:t>
      </w:r>
      <w:r w:rsidR="00500E4F" w:rsidRPr="00666002">
        <w:rPr>
          <w:rFonts w:ascii="Century Gothic" w:hAnsi="Century Gothic"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2.</w:t>
      </w:r>
      <w:r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§2 ust. 3 prosimy o dopisanie następującego zdania: </w:t>
      </w:r>
      <w:bookmarkStart w:id="2" w:name="_Hlk112069873"/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>Odbioru dostaw leków dostarczonych na CITO w dni wolne od pracy lub poza godzinami pracy Apteki Szpitalnej, będzie dokonywał upoważniony przedstawiciel Zamawiającego.</w:t>
      </w:r>
      <w:r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bookmarkEnd w:id="2"/>
      <w:r w:rsidRPr="00500E4F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</w:t>
      </w:r>
      <w:r w:rsidR="00E029A8" w:rsidRPr="00E029A8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>Zamawiający wyraża zgodę na powyższe, odbioru leków na CITO będzie dokonywała osoba uprawniona.</w:t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3.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treści §3 ust. 3 wzoru umowy: Prosimy o wprowadzenie jednoznacznego zapisu, potwierdzającego konieczność utrzymania cen netto w okresie obowiązywania umowy, co skutkować będzie stałością cen netto również w przypadku ustawowego podwyższenia stawek VAT.</w:t>
      </w:r>
      <w:r w:rsidR="00E029A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Odp.: </w:t>
      </w:r>
      <w:r w:rsid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Zamawiający pozostaje przy zapisach umownych.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4.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treści §3 ust. 4 wzoru umowy: Czy w przypadku wstrzymania produkcji lub wycofania z obrotu przedmiotu umowy i braku możliwości dostarczenia zamiennika leku w cenie przetargowej (bo np. będzie to raziło rażącą stratą dla Wykonawcy), Zamawiający wyrazi zgodę na sprzedaż w cenie zbliżonej do rynkowej lub na wyłączenie tego produktu z umowy bez konieczności ponoszenia kary przez Wykonawcę?</w:t>
      </w:r>
      <w:r w:rsidR="00E029A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Odp.: </w:t>
      </w:r>
      <w:r w:rsidR="00E029A8" w:rsidRPr="00E029A8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Zamawiający będzie oczekiwał zamiennika w cenie przetargowej.</w:t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5.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treści §4 ust. 2 lit. a wzoru umowy: Czy Zamawiający wyrazi zgodę na zmianę zapisu dotyczącego kar umownych za niedostarczenie w terminie zamówionej partii towaru poprzez wprowadzenie zapisu o karze w wysokości 0,3% wartości nie dostarczonej w terminie części zamówienia dziennie, a nie od wartości całej dostawy?</w:t>
      </w:r>
      <w:r w:rsidR="00E029A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r w:rsidR="00E029A8" w:rsidRPr="00E029A8">
        <w:rPr>
          <w:rFonts w:ascii="Century Gothic" w:hAnsi="Century Gothic"/>
          <w:b/>
          <w:bCs/>
          <w:sz w:val="18"/>
          <w:szCs w:val="18"/>
        </w:rPr>
        <w:t>Odp.:</w:t>
      </w:r>
      <w:r w:rsidR="00E029A8">
        <w:rPr>
          <w:rFonts w:ascii="Century Gothic" w:hAnsi="Century Gothic"/>
          <w:sz w:val="18"/>
          <w:szCs w:val="18"/>
        </w:rPr>
        <w:t xml:space="preserve"> </w:t>
      </w:r>
      <w:bookmarkStart w:id="3" w:name="_Hlk112070286"/>
      <w:r w:rsidR="00E029A8">
        <w:rPr>
          <w:rFonts w:ascii="Century Gothic" w:hAnsi="Century Gothic"/>
          <w:sz w:val="18"/>
          <w:szCs w:val="18"/>
        </w:rPr>
        <w:t xml:space="preserve">Nie, </w:t>
      </w:r>
      <w:r w:rsidR="00E029A8" w:rsidRPr="00185003">
        <w:rPr>
          <w:rFonts w:ascii="Century Gothic" w:hAnsi="Century Gothic"/>
          <w:sz w:val="18"/>
          <w:szCs w:val="18"/>
        </w:rPr>
        <w:t>Zamawiający pozostaje przy zapisach SIWZ.</w:t>
      </w:r>
      <w:bookmarkEnd w:id="3"/>
    </w:p>
    <w:p w14:paraId="6BC5413A" w14:textId="7603A8F3" w:rsidR="00791773" w:rsidRDefault="00791773" w:rsidP="00791773">
      <w:pPr>
        <w:rPr>
          <w:rFonts w:ascii="Century Gothic" w:hAnsi="Century Gothic"/>
          <w:sz w:val="18"/>
          <w:szCs w:val="18"/>
        </w:rPr>
      </w:pP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6.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treści §4 ust. 2 lit. c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  <w:r w:rsidR="00E029A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E029A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</w:t>
      </w:r>
      <w:r w:rsidR="009A0278" w:rsidRPr="009A027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>Nie, Zamawiający pozostaje przy zapisach SIWZ.</w:t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7.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treści §4 ust. 4 wzoru umowy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  <w:r w:rsidR="00E029A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1A34CE" w:rsidRPr="001A34CE">
        <w:rPr>
          <w:rFonts w:ascii="Century Gothic" w:hAnsi="Century Gothic"/>
          <w:sz w:val="18"/>
          <w:szCs w:val="18"/>
        </w:rPr>
        <w:t xml:space="preserve"> </w:t>
      </w:r>
      <w:r w:rsidR="001A34CE">
        <w:rPr>
          <w:rFonts w:ascii="Century Gothic" w:hAnsi="Century Gothic"/>
          <w:sz w:val="18"/>
          <w:szCs w:val="18"/>
        </w:rPr>
        <w:t xml:space="preserve">Nie, </w:t>
      </w:r>
      <w:r w:rsidR="001A34CE" w:rsidRPr="00185003">
        <w:rPr>
          <w:rFonts w:ascii="Century Gothic" w:hAnsi="Century Gothic"/>
          <w:sz w:val="18"/>
          <w:szCs w:val="18"/>
        </w:rPr>
        <w:t>Zamawiający pozostaje przy zapisach SIWZ.</w:t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Pr="00791773">
        <w:rPr>
          <w:rFonts w:ascii="Century Gothic" w:eastAsiaTheme="minorHAnsi" w:hAnsi="Century Gothic" w:cs="Helvetica"/>
          <w:sz w:val="18"/>
          <w:szCs w:val="18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 </w:t>
      </w:r>
      <w:r w:rsidRPr="00791773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8.</w:t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791773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t xml:space="preserve"> Do treści §6 ust. 2 wzoru umowy: Prosimy o wykreślenie części zapisu wskazującego na możliwość zmian lub uzupełnienia umowy w przypadku zasad rozliczeń z NFZ. Wskazujemy, że NFZ nie jest stroną niniejszej umowy i rozliczenia Zamawiającego z NFZ nie mogą wpływać na treść umowy o zamówienie publiczne.</w:t>
      </w:r>
      <w:r w:rsidR="00E029A8">
        <w:rPr>
          <w:rFonts w:ascii="Century Gothic" w:eastAsiaTheme="minorHAnsi" w:hAnsi="Century Gothic" w:cs="Helvetica"/>
          <w:sz w:val="18"/>
          <w:szCs w:val="18"/>
          <w:shd w:val="clear" w:color="auto" w:fill="FFFFFF"/>
        </w:rPr>
        <w:br/>
      </w:r>
      <w:r w:rsidR="00E029A8" w:rsidRPr="00E029A8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1A34CE" w:rsidRPr="001A34CE">
        <w:rPr>
          <w:rFonts w:ascii="Century Gothic" w:hAnsi="Century Gothic"/>
          <w:sz w:val="18"/>
          <w:szCs w:val="18"/>
        </w:rPr>
        <w:t xml:space="preserve"> </w:t>
      </w:r>
      <w:r w:rsidR="001A34CE">
        <w:rPr>
          <w:rFonts w:ascii="Century Gothic" w:hAnsi="Century Gothic"/>
          <w:sz w:val="18"/>
          <w:szCs w:val="18"/>
        </w:rPr>
        <w:t xml:space="preserve">Nie, </w:t>
      </w:r>
      <w:r w:rsidR="001A34CE" w:rsidRPr="00185003">
        <w:rPr>
          <w:rFonts w:ascii="Century Gothic" w:hAnsi="Century Gothic"/>
          <w:sz w:val="18"/>
          <w:szCs w:val="18"/>
        </w:rPr>
        <w:t>Zamawiający pozostaje przy zapisach SIWZ.</w:t>
      </w:r>
    </w:p>
    <w:p w14:paraId="27DD73CA" w14:textId="5A11A2A1" w:rsidR="001A34CE" w:rsidRPr="00791773" w:rsidRDefault="001A34CE" w:rsidP="0079177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A34CE">
        <w:rPr>
          <w:rFonts w:ascii="Century Gothic" w:hAnsi="Century Gothic"/>
          <w:b/>
          <w:bCs/>
          <w:sz w:val="18"/>
          <w:szCs w:val="18"/>
        </w:rPr>
        <w:t>Wykonawca 4</w:t>
      </w:r>
    </w:p>
    <w:p w14:paraId="09CB4B6C" w14:textId="77777777" w:rsidR="00F3437A" w:rsidRPr="001A34CE" w:rsidRDefault="00F3437A" w:rsidP="00DD4135">
      <w:pPr>
        <w:spacing w:after="0" w:line="240" w:lineRule="auto"/>
        <w:rPr>
          <w:rFonts w:ascii="Century Gothic" w:eastAsia="Times New Roman" w:hAnsi="Century Gothic"/>
          <w:sz w:val="18"/>
          <w:szCs w:val="18"/>
          <w:u w:val="single"/>
          <w:lang w:val="en-US" w:eastAsia="pl-PL"/>
        </w:rPr>
      </w:pPr>
    </w:p>
    <w:p w14:paraId="33FFDE72" w14:textId="3E8B4D2C" w:rsidR="001A34CE" w:rsidRPr="001A34CE" w:rsidRDefault="001A34CE" w:rsidP="001A34CE">
      <w:pPr>
        <w:spacing w:after="120"/>
        <w:jc w:val="both"/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</w:pP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lastRenderedPageBreak/>
        <w:t>Pyt. 1.: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Pakiet 6, Pozycja 37,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Midazolamum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50 mg/10 ml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inj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roztw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10 ml * 5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: Czy zamawiający wymaga aby,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Midazolam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posiadał w swoim składzie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edetynian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sodu, który zapobiega powstawaniu niewielkich ilości osadów spowodowanych wytrącaniem się produktów interakcji szkła z płynem ampułkowym, co wpływa na stabilność i jakość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Midazolamu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?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br/>
      </w: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Odp.:</w:t>
      </w:r>
      <w:r w:rsid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 xml:space="preserve"> Zamawiający wymaga powyższego.</w:t>
      </w:r>
    </w:p>
    <w:p w14:paraId="7A0591E1" w14:textId="6AE9A06A" w:rsidR="001A34CE" w:rsidRPr="001A34CE" w:rsidRDefault="001A34CE" w:rsidP="000124D4">
      <w:pPr>
        <w:spacing w:after="120"/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</w:pP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Pyt. 2.: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Pakiet 6, Pozycja 37,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Midazolamum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50 mg/10 ml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inj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roztw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10 ml * 5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: Czy zamawiający wymaga aby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Midazolamy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zgodnie z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ChPl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miały możliwość mieszania  w jednej strzykawce z morfiną i wykazywały stabilności przez 24h w temp. 250C?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br/>
      </w: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 xml:space="preserve">Odp.: </w:t>
      </w:r>
      <w:r w:rsidR="000124D4"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Zamawiający wymaga powyższego.</w:t>
      </w:r>
    </w:p>
    <w:p w14:paraId="42BA561B" w14:textId="1FBBF839" w:rsidR="001A34CE" w:rsidRPr="001A34CE" w:rsidRDefault="001A34CE" w:rsidP="000124D4">
      <w:pPr>
        <w:spacing w:after="120"/>
        <w:rPr>
          <w:rFonts w:ascii="Century Gothic" w:eastAsiaTheme="minorEastAsia" w:hAnsi="Century Gothic" w:cstheme="minorHAnsi"/>
          <w:sz w:val="18"/>
          <w:szCs w:val="18"/>
          <w:lang w:eastAsia="pl-PL"/>
        </w:rPr>
      </w:pP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Pyt. 3.: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Pakiet 6, Pozycja 39,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Bupivacainum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hydrochloridum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5mg/ml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inj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. [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roztw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.]fiol /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10 ml * 10: Czy Zamawiający wymaga, aby roztwór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Bupivacainum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hydrochloricum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 0,5% można było mieszać w jednej strzykawce z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opioidami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(siarczanem morfiny, fentanylem,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sufentanylem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)?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br/>
      </w: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Odp.: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Zamawiający wymaga powyższego.</w:t>
      </w:r>
    </w:p>
    <w:p w14:paraId="01861CE9" w14:textId="2C5B3A69" w:rsidR="001A34CE" w:rsidRPr="001A34CE" w:rsidRDefault="001A34CE" w:rsidP="001A34CE">
      <w:pPr>
        <w:spacing w:after="120"/>
        <w:jc w:val="both"/>
        <w:rPr>
          <w:rFonts w:ascii="Century Gothic" w:eastAsiaTheme="minorEastAsia" w:hAnsi="Century Gothic" w:cstheme="minorHAnsi"/>
          <w:sz w:val="18"/>
          <w:szCs w:val="18"/>
          <w:lang w:eastAsia="pl-PL"/>
        </w:rPr>
      </w:pP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Pyt. 4.: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Pakiet 6, Pozycja 39,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Bupivacainum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hydrochloridum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5mg/ml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inj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. [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roztw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.]fiol /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10 ml * 10: Czy Zamawiający wymaga, aby roztwór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Bupivacainum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hydrochloricum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0,5% można było rozcieńczać w 0,9% roztworze NaCl lub 5% roztworze glukozy zgodnie z Charakterystyką Produktu Leczniczego?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br/>
      </w: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Odp.: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Zamawiający wymaga powyższego.</w:t>
      </w:r>
    </w:p>
    <w:p w14:paraId="110FB49E" w14:textId="4859A7AC" w:rsidR="001A34CE" w:rsidRPr="001A34CE" w:rsidRDefault="001A34CE" w:rsidP="001A34CE">
      <w:pPr>
        <w:spacing w:after="120"/>
        <w:jc w:val="both"/>
        <w:rPr>
          <w:rFonts w:ascii="Century Gothic" w:eastAsiaTheme="minorEastAsia" w:hAnsi="Century Gothic" w:cstheme="minorHAnsi"/>
          <w:sz w:val="18"/>
          <w:szCs w:val="18"/>
          <w:lang w:eastAsia="pl-PL"/>
        </w:rPr>
      </w:pP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Pyt. 5.: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Pakiet 6, Pozycja 40,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Bupivacainum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hydrochloridum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5mg/ml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inj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. [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roztw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.]fiol /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20 ml * 5: Czy Zamawiający wymaga, aby roztwór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Bupivacainum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hydrochloricum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0,5% można było rozcieńczać w 0,9% roztworze NaCl lub 5% roztworze glukozy zgodnie z Charakterystyką Produktu Leczniczego?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br/>
      </w: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Odp.: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Zamawiający wymaga powyższego.</w:t>
      </w:r>
    </w:p>
    <w:p w14:paraId="2290DE0E" w14:textId="5C024CA9" w:rsidR="001A34CE" w:rsidRPr="001A34CE" w:rsidRDefault="001A34CE" w:rsidP="000124D4">
      <w:pPr>
        <w:spacing w:after="120"/>
        <w:rPr>
          <w:rFonts w:ascii="Century Gothic" w:eastAsiaTheme="minorEastAsia" w:hAnsi="Century Gothic" w:cstheme="minorHAnsi"/>
          <w:sz w:val="18"/>
          <w:szCs w:val="18"/>
          <w:lang w:eastAsia="pl-PL"/>
        </w:rPr>
      </w:pP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Pyt. 6.: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Pakiet 6, Pozycja 43,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Lidocainum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hydrochoridum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10 mg/ ml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inj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roztw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.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2 ml *10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amp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: Czy zamawiający wymaga, aby zaoferowany produkt lidokainy posiadał wskazanie w dożylnym leczeniu bólu w okresie okołooperacyjnym jako składnik analgezji prewencyjnej i multimodalnej zgodnie z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Chpl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produktu oraz zgodnie z zaleceniami leczenia bólu 2019 opublikowane przez Polskie Towarzystwo Badania Bólu?</w:t>
      </w:r>
      <w:r w:rsidR="000124D4"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br/>
      </w: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Odp.: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Zamawiający wymaga powyższego.</w:t>
      </w:r>
    </w:p>
    <w:p w14:paraId="2AA37719" w14:textId="4715CE43" w:rsidR="001A34CE" w:rsidRDefault="001A34CE" w:rsidP="001A34CE">
      <w:pPr>
        <w:spacing w:after="120"/>
        <w:jc w:val="both"/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</w:pP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Pyt. 7.: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Pakiet 6, Pozycja 56,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Ceftazidimum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inj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. dom./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doż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. [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prosz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. do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przyg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.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roztw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.] 2 g fiol: Czy Zamawiający wymaga, aby </w:t>
      </w:r>
      <w:proofErr w:type="spellStart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>Ceftazydym</w:t>
      </w:r>
      <w:proofErr w:type="spellEnd"/>
      <w:r w:rsidRPr="001A34CE">
        <w:rPr>
          <w:rFonts w:ascii="Century Gothic" w:eastAsiaTheme="minorEastAsia" w:hAnsi="Century Gothic" w:cstheme="minorHAnsi"/>
          <w:sz w:val="18"/>
          <w:szCs w:val="18"/>
          <w:lang w:eastAsia="pl-PL"/>
        </w:rPr>
        <w:t xml:space="preserve"> zachowywał po rozpuszczeniu trwałość przez 24 godz. w temp. 2-8°C?</w:t>
      </w:r>
      <w:r>
        <w:rPr>
          <w:rFonts w:ascii="Century Gothic" w:eastAsiaTheme="minorEastAsia" w:hAnsi="Century Gothic" w:cstheme="minorHAnsi"/>
          <w:sz w:val="18"/>
          <w:szCs w:val="18"/>
          <w:lang w:eastAsia="pl-PL"/>
        </w:rPr>
        <w:br/>
      </w:r>
      <w:r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 xml:space="preserve">Odp.: </w:t>
      </w:r>
      <w:r w:rsidR="000124D4" w:rsidRPr="000124D4"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Zamawiający dopuszcza nie wymaga.</w:t>
      </w:r>
    </w:p>
    <w:p w14:paraId="2A96B3BD" w14:textId="055A0BD3" w:rsidR="000124D4" w:rsidRDefault="000124D4" w:rsidP="001A34CE">
      <w:pPr>
        <w:spacing w:after="120"/>
        <w:jc w:val="both"/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</w:pPr>
      <w:r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>Wykonawca 5</w:t>
      </w:r>
    </w:p>
    <w:p w14:paraId="6A84413E" w14:textId="51E76176" w:rsidR="000124D4" w:rsidRPr="001A34CE" w:rsidRDefault="000124D4" w:rsidP="000124D4">
      <w:pPr>
        <w:spacing w:after="120"/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</w:pPr>
      <w:r>
        <w:rPr>
          <w:rFonts w:ascii="Century Gothic" w:eastAsiaTheme="minorEastAsia" w:hAnsi="Century Gothic" w:cstheme="minorHAnsi"/>
          <w:b/>
          <w:bCs/>
          <w:sz w:val="18"/>
          <w:szCs w:val="18"/>
          <w:lang w:eastAsia="pl-PL"/>
        </w:rPr>
        <w:t xml:space="preserve">Pyt. 1.: </w:t>
      </w:r>
      <w:r w:rsidRPr="000124D4">
        <w:rPr>
          <w:rFonts w:ascii="Century Gothic" w:hAnsi="Century Gothic" w:cs="Helvetica"/>
          <w:sz w:val="18"/>
          <w:szCs w:val="18"/>
          <w:shd w:val="clear" w:color="auto" w:fill="FFFFFF"/>
        </w:rPr>
        <w:t>Zamawiający w pakiecie 6 poz. 67 (</w:t>
      </w:r>
      <w:proofErr w:type="spellStart"/>
      <w:r w:rsidRPr="000124D4">
        <w:rPr>
          <w:rFonts w:ascii="Century Gothic" w:hAnsi="Century Gothic" w:cs="Helvetica"/>
          <w:sz w:val="18"/>
          <w:szCs w:val="18"/>
          <w:shd w:val="clear" w:color="auto" w:fill="FFFFFF"/>
        </w:rPr>
        <w:t>Sevofluranum</w:t>
      </w:r>
      <w:proofErr w:type="spellEnd"/>
      <w:r w:rsidRPr="000124D4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) wskazał, że wymaga kompatybilne urządzenie do podawania </w:t>
      </w:r>
      <w:proofErr w:type="spellStart"/>
      <w:r w:rsidRPr="000124D4">
        <w:rPr>
          <w:rFonts w:ascii="Century Gothic" w:hAnsi="Century Gothic" w:cs="Helvetica"/>
          <w:sz w:val="18"/>
          <w:szCs w:val="18"/>
          <w:shd w:val="clear" w:color="auto" w:fill="FFFFFF"/>
        </w:rPr>
        <w:t>leku.W</w:t>
      </w:r>
      <w:proofErr w:type="spellEnd"/>
      <w:r w:rsidRPr="000124D4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związku z powyższym prosimy o informację ilu parowników wymaga Zamawiający oraz z jakimi aparatami mają być kompatybilne parowniki poprzez podanie producenta, modelu aparatu i liczby poszczególnych aparatów.</w:t>
      </w:r>
      <w:r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Pr="00B5107E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Odp.: Zamawiający omyłkowo umieścił ten lek w postepowaniu</w:t>
      </w:r>
      <w:r w:rsidR="00B5107E" w:rsidRPr="00B5107E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, patrz: Modyfikacja.</w:t>
      </w:r>
    </w:p>
    <w:p w14:paraId="1DFF137C" w14:textId="77777777" w:rsidR="00DD4135" w:rsidRDefault="00DD4135" w:rsidP="00550722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</w:p>
    <w:p w14:paraId="69439572" w14:textId="5D1C33E0" w:rsidR="00550722" w:rsidRPr="007D052D" w:rsidRDefault="00550722" w:rsidP="00550722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  <w:r w:rsidRPr="007D052D"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  <w:t>MODYFIKACJA</w:t>
      </w:r>
    </w:p>
    <w:p w14:paraId="60C9380A" w14:textId="77777777" w:rsidR="00550722" w:rsidRPr="007D052D" w:rsidRDefault="00550722" w:rsidP="00550722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</w:p>
    <w:p w14:paraId="2277BA9D" w14:textId="77777777" w:rsidR="00550722" w:rsidRPr="00C054DB" w:rsidRDefault="00550722" w:rsidP="00550722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</w:p>
    <w:p w14:paraId="0BEEE429" w14:textId="77777777" w:rsidR="00971939" w:rsidRDefault="00550722" w:rsidP="00550722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C054DB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art. art. 286 ust. 1   ustawy z dnia 11 września 2019 roku Prawo zamówień publicznych                                   (Dz. U.  z 2021 roku, poz. 1129), Zamawiający zmienia Formularz cenowy, </w:t>
      </w:r>
      <w:r w:rsidRPr="00971939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zamieniając w pozycji 66</w:t>
      </w:r>
      <w:r w:rsidRPr="00C054DB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proofErr w:type="spellStart"/>
      <w:r w:rsidRPr="00C054DB">
        <w:rPr>
          <w:rFonts w:ascii="Century Gothic" w:eastAsia="Times New Roman" w:hAnsi="Century Gothic"/>
          <w:sz w:val="18"/>
          <w:szCs w:val="18"/>
          <w:lang w:eastAsia="ar-SA"/>
        </w:rPr>
        <w:t>Desfluran</w:t>
      </w:r>
      <w:proofErr w:type="spellEnd"/>
      <w:r w:rsidRPr="00C054DB">
        <w:rPr>
          <w:rFonts w:ascii="Century Gothic" w:eastAsia="Times New Roman" w:hAnsi="Century Gothic"/>
          <w:sz w:val="18"/>
          <w:szCs w:val="18"/>
          <w:lang w:eastAsia="ar-SA"/>
        </w:rPr>
        <w:t xml:space="preserve"> płyn do inhalacji parowej 240 ml anestetyk wziewny +Kompatybilne urządzenie do podawania leku, flakon, 120 </w:t>
      </w:r>
      <w:proofErr w:type="spellStart"/>
      <w:r w:rsidRPr="00C054DB">
        <w:rPr>
          <w:rFonts w:ascii="Century Gothic" w:eastAsia="Times New Roman" w:hAnsi="Century Gothic"/>
          <w:sz w:val="18"/>
          <w:szCs w:val="18"/>
          <w:lang w:eastAsia="ar-SA"/>
        </w:rPr>
        <w:t>opakowan</w:t>
      </w:r>
      <w:proofErr w:type="spellEnd"/>
      <w:r w:rsidRPr="00C054DB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</w:p>
    <w:p w14:paraId="663EF0D9" w14:textId="7819AC2B" w:rsidR="00550722" w:rsidRPr="00C054DB" w:rsidRDefault="00971939" w:rsidP="00550722">
      <w:pPr>
        <w:widowControl w:val="0"/>
        <w:suppressAutoHyphens/>
        <w:spacing w:after="0" w:line="240" w:lineRule="auto"/>
        <w:ind w:firstLine="284"/>
        <w:jc w:val="both"/>
        <w:rPr>
          <w:rFonts w:ascii="Century Gothic" w:hAnsi="Century Gothic"/>
          <w:sz w:val="18"/>
          <w:szCs w:val="18"/>
        </w:rPr>
      </w:pPr>
      <w:r w:rsidRPr="00971939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NA</w:t>
      </w:r>
      <w:r w:rsidR="00550722" w:rsidRPr="00971939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 xml:space="preserve"> :</w:t>
      </w:r>
      <w:r w:rsidR="00550722" w:rsidRPr="00C054DB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proofErr w:type="spellStart"/>
      <w:r w:rsidR="00550722" w:rsidRPr="00C054DB">
        <w:rPr>
          <w:rFonts w:ascii="Century Gothic" w:hAnsi="Century Gothic"/>
          <w:sz w:val="18"/>
          <w:szCs w:val="18"/>
          <w:lang w:val="en-US"/>
        </w:rPr>
        <w:t>Adenosinum</w:t>
      </w:r>
      <w:proofErr w:type="spellEnd"/>
      <w:r w:rsidR="00550722" w:rsidRPr="00C054DB">
        <w:rPr>
          <w:rFonts w:ascii="Century Gothic" w:hAnsi="Century Gothic"/>
          <w:sz w:val="18"/>
          <w:szCs w:val="18"/>
          <w:lang w:val="en-US"/>
        </w:rPr>
        <w:t>  3mg/1 ml amp 2 ml  * 6 amp inj.  </w:t>
      </w:r>
      <w:r w:rsidR="00550722" w:rsidRPr="00C054DB">
        <w:rPr>
          <w:rFonts w:ascii="Century Gothic" w:hAnsi="Century Gothic"/>
          <w:sz w:val="18"/>
          <w:szCs w:val="18"/>
        </w:rPr>
        <w:t>dożylna / Roztwór   </w:t>
      </w:r>
    </w:p>
    <w:p w14:paraId="67B129F1" w14:textId="77777777" w:rsidR="00971939" w:rsidRDefault="00550722" w:rsidP="00550722">
      <w:pPr>
        <w:widowControl w:val="0"/>
        <w:suppressAutoHyphens/>
        <w:spacing w:after="0" w:line="240" w:lineRule="auto"/>
        <w:ind w:firstLine="284"/>
        <w:jc w:val="both"/>
        <w:rPr>
          <w:rFonts w:ascii="Century Gothic" w:hAnsi="Century Gothic"/>
          <w:sz w:val="18"/>
          <w:szCs w:val="18"/>
        </w:rPr>
      </w:pPr>
      <w:r w:rsidRPr="00C054DB">
        <w:rPr>
          <w:rFonts w:ascii="Century Gothic" w:hAnsi="Century Gothic"/>
          <w:sz w:val="18"/>
          <w:szCs w:val="18"/>
        </w:rPr>
        <w:t xml:space="preserve">Oraz </w:t>
      </w:r>
      <w:r w:rsidRPr="00971939">
        <w:rPr>
          <w:rFonts w:ascii="Century Gothic" w:hAnsi="Century Gothic"/>
          <w:b/>
          <w:bCs/>
          <w:sz w:val="18"/>
          <w:szCs w:val="18"/>
        </w:rPr>
        <w:t>w pozycji 67</w:t>
      </w:r>
      <w:r w:rsidRPr="00C054DB">
        <w:rPr>
          <w:rFonts w:ascii="Century Gothic" w:hAnsi="Century Gothic"/>
          <w:sz w:val="18"/>
          <w:szCs w:val="18"/>
        </w:rPr>
        <w:t xml:space="preserve"> : </w:t>
      </w:r>
      <w:proofErr w:type="spellStart"/>
      <w:r w:rsidRPr="00C054DB">
        <w:rPr>
          <w:rFonts w:ascii="Century Gothic" w:hAnsi="Century Gothic"/>
          <w:sz w:val="18"/>
          <w:szCs w:val="18"/>
        </w:rPr>
        <w:t>Sevofluranum</w:t>
      </w:r>
      <w:proofErr w:type="spellEnd"/>
      <w:r w:rsidRPr="00C054DB">
        <w:rPr>
          <w:rFonts w:ascii="Century Gothic" w:hAnsi="Century Gothic"/>
          <w:sz w:val="18"/>
          <w:szCs w:val="18"/>
        </w:rPr>
        <w:t xml:space="preserve"> płyn do </w:t>
      </w:r>
      <w:proofErr w:type="spellStart"/>
      <w:r w:rsidRPr="00C054DB">
        <w:rPr>
          <w:rFonts w:ascii="Century Gothic" w:hAnsi="Century Gothic"/>
          <w:sz w:val="18"/>
          <w:szCs w:val="18"/>
        </w:rPr>
        <w:t>inh</w:t>
      </w:r>
      <w:proofErr w:type="spellEnd"/>
      <w:r w:rsidRPr="00C054DB">
        <w:rPr>
          <w:rFonts w:ascii="Century Gothic" w:hAnsi="Century Gothic"/>
          <w:sz w:val="18"/>
          <w:szCs w:val="18"/>
        </w:rPr>
        <w:t xml:space="preserve"> parowej 250 ml anestetyk wziewny *  + kompatybilne urządzenie do podawania leku </w:t>
      </w:r>
    </w:p>
    <w:p w14:paraId="2C84A4E8" w14:textId="355A63BD" w:rsidR="00550722" w:rsidRPr="00C054DB" w:rsidRDefault="00971939" w:rsidP="00550722">
      <w:pPr>
        <w:widowControl w:val="0"/>
        <w:suppressAutoHyphens/>
        <w:spacing w:after="0" w:line="240" w:lineRule="auto"/>
        <w:ind w:firstLine="284"/>
        <w:jc w:val="both"/>
        <w:rPr>
          <w:rFonts w:ascii="Century Gothic" w:hAnsi="Century Gothic" w:cs="Calibri"/>
          <w:color w:val="666666"/>
          <w:sz w:val="18"/>
          <w:szCs w:val="18"/>
          <w:lang w:eastAsia="pl-PL"/>
        </w:rPr>
      </w:pPr>
      <w:r w:rsidRPr="00971939">
        <w:rPr>
          <w:rFonts w:ascii="Century Gothic" w:hAnsi="Century Gothic"/>
          <w:b/>
          <w:bCs/>
          <w:sz w:val="18"/>
          <w:szCs w:val="18"/>
        </w:rPr>
        <w:t>NA: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550722" w:rsidRPr="00C054DB">
        <w:rPr>
          <w:rFonts w:ascii="Century Gothic" w:hAnsi="Century Gothic"/>
          <w:sz w:val="18"/>
          <w:szCs w:val="18"/>
          <w:lang w:val="en-US"/>
        </w:rPr>
        <w:t>Propofolum</w:t>
      </w:r>
      <w:proofErr w:type="spellEnd"/>
      <w:r w:rsidR="00550722" w:rsidRPr="00C054DB">
        <w:rPr>
          <w:rFonts w:ascii="Century Gothic" w:hAnsi="Century Gothic"/>
          <w:sz w:val="18"/>
          <w:szCs w:val="18"/>
          <w:lang w:val="en-US"/>
        </w:rPr>
        <w:t xml:space="preserve"> 2 % 20 mg/ 1 ml </w:t>
      </w:r>
      <w:proofErr w:type="spellStart"/>
      <w:r w:rsidR="00550722" w:rsidRPr="00C054DB">
        <w:rPr>
          <w:rFonts w:ascii="Century Gothic" w:hAnsi="Century Gothic"/>
          <w:sz w:val="18"/>
          <w:szCs w:val="18"/>
          <w:lang w:val="en-US"/>
        </w:rPr>
        <w:t>fiol</w:t>
      </w:r>
      <w:proofErr w:type="spellEnd"/>
      <w:r w:rsidR="00550722" w:rsidRPr="00C054DB">
        <w:rPr>
          <w:rFonts w:ascii="Century Gothic" w:hAnsi="Century Gothic"/>
          <w:sz w:val="18"/>
          <w:szCs w:val="18"/>
          <w:lang w:val="en-US"/>
        </w:rPr>
        <w:t xml:space="preserve">. </w:t>
      </w:r>
      <w:r w:rsidR="00550722" w:rsidRPr="00C054DB">
        <w:rPr>
          <w:rFonts w:ascii="Century Gothic" w:hAnsi="Century Gothic"/>
          <w:sz w:val="18"/>
          <w:szCs w:val="18"/>
        </w:rPr>
        <w:t xml:space="preserve">50 ml </w:t>
      </w:r>
      <w:proofErr w:type="spellStart"/>
      <w:r w:rsidR="00550722" w:rsidRPr="00C054DB">
        <w:rPr>
          <w:rFonts w:ascii="Century Gothic" w:hAnsi="Century Gothic"/>
          <w:sz w:val="18"/>
          <w:szCs w:val="18"/>
        </w:rPr>
        <w:t>inf</w:t>
      </w:r>
      <w:proofErr w:type="spellEnd"/>
      <w:r w:rsidR="00550722" w:rsidRPr="00C054DB">
        <w:rPr>
          <w:rFonts w:ascii="Century Gothic" w:hAnsi="Century Gothic"/>
          <w:sz w:val="18"/>
          <w:szCs w:val="18"/>
        </w:rPr>
        <w:t xml:space="preserve">/ </w:t>
      </w:r>
      <w:proofErr w:type="spellStart"/>
      <w:r w:rsidR="00550722" w:rsidRPr="00C054DB">
        <w:rPr>
          <w:rFonts w:ascii="Century Gothic" w:hAnsi="Century Gothic"/>
          <w:sz w:val="18"/>
          <w:szCs w:val="18"/>
        </w:rPr>
        <w:t>inj</w:t>
      </w:r>
      <w:proofErr w:type="spellEnd"/>
      <w:r w:rsidR="00550722" w:rsidRPr="00C054DB">
        <w:rPr>
          <w:rFonts w:ascii="Century Gothic" w:hAnsi="Century Gothic"/>
          <w:sz w:val="18"/>
          <w:szCs w:val="18"/>
        </w:rPr>
        <w:t xml:space="preserve"> roztwór</w:t>
      </w:r>
    </w:p>
    <w:p w14:paraId="17AAB08B" w14:textId="77777777" w:rsidR="00550722" w:rsidRPr="00C054DB" w:rsidRDefault="00550722" w:rsidP="00550722">
      <w:pPr>
        <w:tabs>
          <w:tab w:val="left" w:pos="5685"/>
        </w:tabs>
        <w:spacing w:after="0" w:line="240" w:lineRule="auto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0040A84F" w14:textId="2F97C381" w:rsidR="00FE1CB6" w:rsidRDefault="00FE1CB6" w:rsidP="00DD5303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</w:p>
    <w:p w14:paraId="6C33FC09" w14:textId="66C76B3E" w:rsidR="00607CFE" w:rsidRPr="00607CFE" w:rsidRDefault="001A34CE" w:rsidP="001A34CE">
      <w:pPr>
        <w:spacing w:after="0" w:line="240" w:lineRule="auto"/>
        <w:ind w:firstLine="5954"/>
        <w:jc w:val="right"/>
        <w:rPr>
          <w:rFonts w:ascii="Century Gothic" w:eastAsia="Times New Roman" w:hAnsi="Century Gothic"/>
          <w:sz w:val="18"/>
          <w:szCs w:val="18"/>
          <w:lang w:val="en-US" w:eastAsia="pl-PL"/>
        </w:rPr>
      </w:pPr>
      <w:r>
        <w:rPr>
          <w:rFonts w:ascii="Century Gothic" w:eastAsia="Times New Roman" w:hAnsi="Century Gothic"/>
          <w:sz w:val="18"/>
          <w:szCs w:val="18"/>
          <w:lang w:val="en-US" w:eastAsia="pl-PL"/>
        </w:rPr>
        <w:t>W zast</w:t>
      </w:r>
      <w:r w:rsidR="000124D4">
        <w:rPr>
          <w:rFonts w:ascii="Century Gothic" w:eastAsia="Times New Roman" w:hAnsi="Century Gothic"/>
          <w:sz w:val="18"/>
          <w:szCs w:val="18"/>
          <w:lang w:val="en-US" w:eastAsia="pl-PL"/>
        </w:rPr>
        <w:t>ę</w:t>
      </w:r>
      <w:r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pstwie </w:t>
      </w:r>
      <w:r w:rsidR="00607CFE" w:rsidRPr="00607CFE">
        <w:rPr>
          <w:rFonts w:ascii="Century Gothic" w:eastAsia="Times New Roman" w:hAnsi="Century Gothic"/>
          <w:sz w:val="18"/>
          <w:szCs w:val="18"/>
          <w:lang w:val="en-US" w:eastAsia="pl-PL"/>
        </w:rPr>
        <w:t>Dyrektor</w:t>
      </w:r>
      <w:r>
        <w:rPr>
          <w:rFonts w:ascii="Century Gothic" w:eastAsia="Times New Roman" w:hAnsi="Century Gothic"/>
          <w:sz w:val="18"/>
          <w:szCs w:val="18"/>
          <w:lang w:val="en-US" w:eastAsia="pl-PL"/>
        </w:rPr>
        <w:t>a</w:t>
      </w:r>
      <w:r w:rsidR="00607CFE" w:rsidRPr="00607CFE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W-MCChP</w:t>
      </w:r>
    </w:p>
    <w:p w14:paraId="5455AA51" w14:textId="0B6A1619" w:rsidR="00607CFE" w:rsidRPr="00607CFE" w:rsidRDefault="001A34CE" w:rsidP="001A34CE">
      <w:pPr>
        <w:spacing w:after="0" w:line="240" w:lineRule="auto"/>
        <w:ind w:firstLine="5954"/>
        <w:jc w:val="right"/>
        <w:rPr>
          <w:rFonts w:ascii="Century Gothic" w:eastAsia="Times New Roman" w:hAnsi="Century Gothic"/>
          <w:sz w:val="18"/>
          <w:szCs w:val="18"/>
          <w:lang w:val="en-US" w:eastAsia="pl-PL"/>
        </w:rPr>
      </w:pPr>
      <w:r>
        <w:rPr>
          <w:rFonts w:ascii="Century Gothic" w:eastAsia="Times New Roman" w:hAnsi="Century Gothic"/>
          <w:sz w:val="18"/>
          <w:szCs w:val="18"/>
          <w:lang w:val="en-US" w:eastAsia="pl-PL"/>
        </w:rPr>
        <w:t>Jacek Owczarczyk, z-ca Dyrektora    ds</w:t>
      </w:r>
      <w:r w:rsidR="000124D4">
        <w:rPr>
          <w:rFonts w:ascii="Century Gothic" w:eastAsia="Times New Roman" w:hAnsi="Century Gothic"/>
          <w:sz w:val="18"/>
          <w:szCs w:val="18"/>
          <w:lang w:val="en-US" w:eastAsia="pl-PL"/>
        </w:rPr>
        <w:t>.</w:t>
      </w:r>
      <w:r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medycznych</w:t>
      </w:r>
    </w:p>
    <w:p w14:paraId="5F442414" w14:textId="78C607BD" w:rsidR="00607CFE" w:rsidRPr="00607CFE" w:rsidRDefault="00607CFE" w:rsidP="001A34CE">
      <w:pPr>
        <w:spacing w:after="0" w:line="240" w:lineRule="auto"/>
        <w:ind w:firstLine="5954"/>
        <w:jc w:val="right"/>
        <w:rPr>
          <w:rFonts w:ascii="Century Gothic" w:eastAsia="Times New Roman" w:hAnsi="Century Gothic"/>
          <w:sz w:val="18"/>
          <w:szCs w:val="18"/>
          <w:lang w:val="en-US" w:eastAsia="pl-PL"/>
        </w:rPr>
      </w:pPr>
      <w:r w:rsidRPr="00607CFE">
        <w:rPr>
          <w:rFonts w:ascii="Century Gothic" w:eastAsia="Times New Roman" w:hAnsi="Century Gothic"/>
          <w:sz w:val="18"/>
          <w:szCs w:val="18"/>
          <w:lang w:val="en-US" w:eastAsia="pl-PL"/>
        </w:rPr>
        <w:t>(</w:t>
      </w:r>
      <w:proofErr w:type="spellStart"/>
      <w:r w:rsidRPr="00607CFE">
        <w:rPr>
          <w:rFonts w:ascii="Century Gothic" w:eastAsia="Times New Roman" w:hAnsi="Century Gothic"/>
          <w:sz w:val="18"/>
          <w:szCs w:val="18"/>
          <w:lang w:val="en-US" w:eastAsia="pl-PL"/>
        </w:rPr>
        <w:t>Podpis</w:t>
      </w:r>
      <w:proofErr w:type="spellEnd"/>
      <w:r w:rsidRPr="00607CFE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w </w:t>
      </w:r>
      <w:proofErr w:type="spellStart"/>
      <w:r w:rsidRPr="00607CFE">
        <w:rPr>
          <w:rFonts w:ascii="Century Gothic" w:eastAsia="Times New Roman" w:hAnsi="Century Gothic"/>
          <w:sz w:val="18"/>
          <w:szCs w:val="18"/>
          <w:lang w:val="en-US" w:eastAsia="pl-PL"/>
        </w:rPr>
        <w:t>oryginale</w:t>
      </w:r>
      <w:proofErr w:type="spellEnd"/>
      <w:r w:rsidRPr="00607CFE">
        <w:rPr>
          <w:rFonts w:ascii="Century Gothic" w:eastAsia="Times New Roman" w:hAnsi="Century Gothic"/>
          <w:sz w:val="18"/>
          <w:szCs w:val="18"/>
          <w:lang w:val="en-US" w:eastAsia="pl-PL"/>
        </w:rPr>
        <w:t>)</w:t>
      </w:r>
    </w:p>
    <w:sectPr w:rsidR="00607CFE" w:rsidRPr="00607CFE" w:rsidSect="00243F3B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E6F0" w14:textId="77777777" w:rsidR="004C3F43" w:rsidRDefault="004C3F43" w:rsidP="00AF6E62">
      <w:pPr>
        <w:spacing w:after="0" w:line="240" w:lineRule="auto"/>
      </w:pPr>
      <w:r>
        <w:separator/>
      </w:r>
    </w:p>
  </w:endnote>
  <w:endnote w:type="continuationSeparator" w:id="0">
    <w:p w14:paraId="2F2EDEA1" w14:textId="77777777" w:rsidR="004C3F43" w:rsidRDefault="004C3F43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F52D1E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C307" w14:textId="77777777" w:rsidR="004C3F43" w:rsidRDefault="004C3F43" w:rsidP="00AF6E62">
      <w:pPr>
        <w:spacing w:after="0" w:line="240" w:lineRule="auto"/>
      </w:pPr>
      <w:r>
        <w:separator/>
      </w:r>
    </w:p>
  </w:footnote>
  <w:footnote w:type="continuationSeparator" w:id="0">
    <w:p w14:paraId="2C7A77ED" w14:textId="77777777" w:rsidR="004C3F43" w:rsidRDefault="004C3F43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60244312" w:rsidR="00A9594A" w:rsidRDefault="00771583" w:rsidP="00A9594A">
    <w:pPr>
      <w:pStyle w:val="Nagwek"/>
      <w:ind w:hanging="1418"/>
    </w:pPr>
    <w:r>
      <w:rPr>
        <w:rFonts w:ascii="Century Gothic" w:eastAsia="Times New Roman" w:hAnsi="Century Gothic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A2DF37C" wp14:editId="0F90D5B5">
          <wp:simplePos x="0" y="0"/>
          <wp:positionH relativeFrom="page">
            <wp:align>left</wp:align>
          </wp:positionH>
          <wp:positionV relativeFrom="paragraph">
            <wp:posOffset>-811530</wp:posOffset>
          </wp:positionV>
          <wp:extent cx="7590155" cy="202882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202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12252"/>
    <w:multiLevelType w:val="multilevel"/>
    <w:tmpl w:val="C00A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542354978">
    <w:abstractNumId w:val="18"/>
  </w:num>
  <w:num w:numId="2" w16cid:durableId="485321953">
    <w:abstractNumId w:val="1"/>
  </w:num>
  <w:num w:numId="3" w16cid:durableId="1897349031">
    <w:abstractNumId w:val="2"/>
  </w:num>
  <w:num w:numId="4" w16cid:durableId="664016868">
    <w:abstractNumId w:val="15"/>
  </w:num>
  <w:num w:numId="5" w16cid:durableId="1562405239">
    <w:abstractNumId w:val="0"/>
  </w:num>
  <w:num w:numId="6" w16cid:durableId="186718531">
    <w:abstractNumId w:val="7"/>
  </w:num>
  <w:num w:numId="7" w16cid:durableId="1088693586">
    <w:abstractNumId w:val="8"/>
  </w:num>
  <w:num w:numId="8" w16cid:durableId="1349135657">
    <w:abstractNumId w:val="10"/>
  </w:num>
  <w:num w:numId="9" w16cid:durableId="1827278596">
    <w:abstractNumId w:val="16"/>
  </w:num>
  <w:num w:numId="10" w16cid:durableId="992486098">
    <w:abstractNumId w:val="4"/>
  </w:num>
  <w:num w:numId="11" w16cid:durableId="1846628271">
    <w:abstractNumId w:val="17"/>
  </w:num>
  <w:num w:numId="12" w16cid:durableId="1529635216">
    <w:abstractNumId w:val="12"/>
  </w:num>
  <w:num w:numId="13" w16cid:durableId="1275870513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223829995">
    <w:abstractNumId w:val="9"/>
    <w:lvlOverride w:ilvl="0">
      <w:lvl w:ilvl="0">
        <w:numFmt w:val="decimal"/>
        <w:lvlText w:val="%1."/>
        <w:lvlJc w:val="left"/>
      </w:lvl>
    </w:lvlOverride>
  </w:num>
  <w:num w:numId="15" w16cid:durableId="1589583679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1850176782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817145271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457333306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819150523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600376574">
    <w:abstractNumId w:val="5"/>
  </w:num>
  <w:num w:numId="21" w16cid:durableId="1582181364">
    <w:abstractNumId w:val="11"/>
  </w:num>
  <w:num w:numId="22" w16cid:durableId="928999586">
    <w:abstractNumId w:val="3"/>
  </w:num>
  <w:num w:numId="23" w16cid:durableId="864712883">
    <w:abstractNumId w:val="6"/>
  </w:num>
  <w:num w:numId="24" w16cid:durableId="1235551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5003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24D4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830A0"/>
    <w:rsid w:val="00086AD4"/>
    <w:rsid w:val="000908EB"/>
    <w:rsid w:val="000922AF"/>
    <w:rsid w:val="00096341"/>
    <w:rsid w:val="000A02C8"/>
    <w:rsid w:val="000A099A"/>
    <w:rsid w:val="000A496E"/>
    <w:rsid w:val="000A4B8A"/>
    <w:rsid w:val="000C0EBB"/>
    <w:rsid w:val="000C26B8"/>
    <w:rsid w:val="001304F2"/>
    <w:rsid w:val="00143D91"/>
    <w:rsid w:val="00146DD4"/>
    <w:rsid w:val="00147B17"/>
    <w:rsid w:val="00147CBB"/>
    <w:rsid w:val="00156D75"/>
    <w:rsid w:val="001608E3"/>
    <w:rsid w:val="0016611D"/>
    <w:rsid w:val="0017444F"/>
    <w:rsid w:val="001808A1"/>
    <w:rsid w:val="0019251D"/>
    <w:rsid w:val="001A135E"/>
    <w:rsid w:val="001A34CE"/>
    <w:rsid w:val="001D12E7"/>
    <w:rsid w:val="001E1D72"/>
    <w:rsid w:val="001E4A9E"/>
    <w:rsid w:val="001F1295"/>
    <w:rsid w:val="00214AEC"/>
    <w:rsid w:val="00220885"/>
    <w:rsid w:val="0023654D"/>
    <w:rsid w:val="00243F3B"/>
    <w:rsid w:val="00276CB5"/>
    <w:rsid w:val="00291596"/>
    <w:rsid w:val="0029665D"/>
    <w:rsid w:val="00297BEE"/>
    <w:rsid w:val="002A59B6"/>
    <w:rsid w:val="002B7F73"/>
    <w:rsid w:val="002C43F9"/>
    <w:rsid w:val="002D2871"/>
    <w:rsid w:val="002E29E0"/>
    <w:rsid w:val="002E2B46"/>
    <w:rsid w:val="002E6FCB"/>
    <w:rsid w:val="002F4EA7"/>
    <w:rsid w:val="0030587E"/>
    <w:rsid w:val="00310D1F"/>
    <w:rsid w:val="00362CC5"/>
    <w:rsid w:val="00372323"/>
    <w:rsid w:val="00380888"/>
    <w:rsid w:val="0039275D"/>
    <w:rsid w:val="00395658"/>
    <w:rsid w:val="003A3821"/>
    <w:rsid w:val="003A71AD"/>
    <w:rsid w:val="003B1CEB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A6165"/>
    <w:rsid w:val="004C3F43"/>
    <w:rsid w:val="004D082C"/>
    <w:rsid w:val="00500E4F"/>
    <w:rsid w:val="0050149E"/>
    <w:rsid w:val="00504DC5"/>
    <w:rsid w:val="00546E78"/>
    <w:rsid w:val="00550722"/>
    <w:rsid w:val="00551291"/>
    <w:rsid w:val="00594253"/>
    <w:rsid w:val="005B40CA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C2C41"/>
    <w:rsid w:val="006D1285"/>
    <w:rsid w:val="006D1F53"/>
    <w:rsid w:val="006F0145"/>
    <w:rsid w:val="00701E44"/>
    <w:rsid w:val="00713185"/>
    <w:rsid w:val="00767E3B"/>
    <w:rsid w:val="00771583"/>
    <w:rsid w:val="00772607"/>
    <w:rsid w:val="00791773"/>
    <w:rsid w:val="00794113"/>
    <w:rsid w:val="007A2944"/>
    <w:rsid w:val="007B2575"/>
    <w:rsid w:val="007B3AFD"/>
    <w:rsid w:val="007C55C2"/>
    <w:rsid w:val="007D052D"/>
    <w:rsid w:val="007D135F"/>
    <w:rsid w:val="007D4733"/>
    <w:rsid w:val="007E335F"/>
    <w:rsid w:val="007E3A35"/>
    <w:rsid w:val="007F4141"/>
    <w:rsid w:val="00806CB4"/>
    <w:rsid w:val="008100CF"/>
    <w:rsid w:val="00830198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23441"/>
    <w:rsid w:val="0095119A"/>
    <w:rsid w:val="00971085"/>
    <w:rsid w:val="00971939"/>
    <w:rsid w:val="00982FF7"/>
    <w:rsid w:val="00992D0D"/>
    <w:rsid w:val="009A0278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53ED"/>
    <w:rsid w:val="00A67FAA"/>
    <w:rsid w:val="00A851ED"/>
    <w:rsid w:val="00A919D2"/>
    <w:rsid w:val="00A9300D"/>
    <w:rsid w:val="00A9594A"/>
    <w:rsid w:val="00A975EB"/>
    <w:rsid w:val="00AA0CCD"/>
    <w:rsid w:val="00AA4B83"/>
    <w:rsid w:val="00AA76C1"/>
    <w:rsid w:val="00AB15E9"/>
    <w:rsid w:val="00AB6E22"/>
    <w:rsid w:val="00AC42D7"/>
    <w:rsid w:val="00AC72E2"/>
    <w:rsid w:val="00AC76F1"/>
    <w:rsid w:val="00AF6E62"/>
    <w:rsid w:val="00B02F89"/>
    <w:rsid w:val="00B126BF"/>
    <w:rsid w:val="00B3211C"/>
    <w:rsid w:val="00B32A40"/>
    <w:rsid w:val="00B36A40"/>
    <w:rsid w:val="00B37806"/>
    <w:rsid w:val="00B44B21"/>
    <w:rsid w:val="00B4643F"/>
    <w:rsid w:val="00B5107E"/>
    <w:rsid w:val="00B57396"/>
    <w:rsid w:val="00B665FF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F2356"/>
    <w:rsid w:val="00C054DB"/>
    <w:rsid w:val="00C27481"/>
    <w:rsid w:val="00C374E7"/>
    <w:rsid w:val="00C431B7"/>
    <w:rsid w:val="00C56013"/>
    <w:rsid w:val="00C6537F"/>
    <w:rsid w:val="00C70111"/>
    <w:rsid w:val="00C70F31"/>
    <w:rsid w:val="00CA0937"/>
    <w:rsid w:val="00CB1AED"/>
    <w:rsid w:val="00CE2B3C"/>
    <w:rsid w:val="00CE58A0"/>
    <w:rsid w:val="00CE7606"/>
    <w:rsid w:val="00CF5304"/>
    <w:rsid w:val="00D452E5"/>
    <w:rsid w:val="00D63712"/>
    <w:rsid w:val="00D7683E"/>
    <w:rsid w:val="00D8605D"/>
    <w:rsid w:val="00D91CC7"/>
    <w:rsid w:val="00DA36FC"/>
    <w:rsid w:val="00DB1192"/>
    <w:rsid w:val="00DC6895"/>
    <w:rsid w:val="00DD3CC6"/>
    <w:rsid w:val="00DD4135"/>
    <w:rsid w:val="00DD5303"/>
    <w:rsid w:val="00E00365"/>
    <w:rsid w:val="00E029A8"/>
    <w:rsid w:val="00E133B0"/>
    <w:rsid w:val="00E24A83"/>
    <w:rsid w:val="00E40891"/>
    <w:rsid w:val="00E47FBA"/>
    <w:rsid w:val="00E639E7"/>
    <w:rsid w:val="00E76745"/>
    <w:rsid w:val="00E8170F"/>
    <w:rsid w:val="00EA63D7"/>
    <w:rsid w:val="00EB5D5A"/>
    <w:rsid w:val="00EB624D"/>
    <w:rsid w:val="00EC605A"/>
    <w:rsid w:val="00ED1F05"/>
    <w:rsid w:val="00ED49AC"/>
    <w:rsid w:val="00EE0F10"/>
    <w:rsid w:val="00EF6C1C"/>
    <w:rsid w:val="00F13069"/>
    <w:rsid w:val="00F143D8"/>
    <w:rsid w:val="00F20E79"/>
    <w:rsid w:val="00F308C1"/>
    <w:rsid w:val="00F3437A"/>
    <w:rsid w:val="00F35D4C"/>
    <w:rsid w:val="00F37039"/>
    <w:rsid w:val="00F40A58"/>
    <w:rsid w:val="00F505C8"/>
    <w:rsid w:val="00F52D1E"/>
    <w:rsid w:val="00F530A1"/>
    <w:rsid w:val="00F54A03"/>
    <w:rsid w:val="00F80588"/>
    <w:rsid w:val="00F80DF3"/>
    <w:rsid w:val="00F81047"/>
    <w:rsid w:val="00F83C3F"/>
    <w:rsid w:val="00FA2AE9"/>
    <w:rsid w:val="00FC7480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B2D9-261B-4B09-BCC0-EAFA85D9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Marta Kin-Malesza</cp:lastModifiedBy>
  <cp:revision>75</cp:revision>
  <cp:lastPrinted>2022-08-23T05:54:00Z</cp:lastPrinted>
  <dcterms:created xsi:type="dcterms:W3CDTF">2022-03-31T05:52:00Z</dcterms:created>
  <dcterms:modified xsi:type="dcterms:W3CDTF">2022-08-23T05:55:00Z</dcterms:modified>
</cp:coreProperties>
</file>