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81F" w:rsidRPr="00EF4BF8" w:rsidRDefault="0014381F" w:rsidP="00B81E16">
      <w:pPr>
        <w:suppressAutoHyphens w:val="0"/>
        <w:autoSpaceDE w:val="0"/>
        <w:autoSpaceDN w:val="0"/>
        <w:adjustRightInd w:val="0"/>
        <w:jc w:val="right"/>
        <w:rPr>
          <w:rFonts w:ascii="Arial" w:eastAsia="Microsoft YaHei" w:hAnsi="Arial" w:cs="Arial"/>
          <w:b/>
          <w:bCs/>
          <w:color w:val="0000FF"/>
          <w:sz w:val="16"/>
          <w:szCs w:val="16"/>
          <w:lang w:val="pl-PL" w:eastAsia="pl-PL"/>
        </w:rPr>
      </w:pPr>
    </w:p>
    <w:p w:rsidR="0014381F" w:rsidRPr="006A6681" w:rsidRDefault="0014381F" w:rsidP="00B81E16">
      <w:pPr>
        <w:suppressAutoHyphens w:val="0"/>
        <w:autoSpaceDE w:val="0"/>
        <w:autoSpaceDN w:val="0"/>
        <w:adjustRightInd w:val="0"/>
        <w:jc w:val="right"/>
        <w:rPr>
          <w:rFonts w:ascii="Arial" w:eastAsia="Microsoft YaHei" w:hAnsi="Arial" w:cs="Arial"/>
          <w:b/>
          <w:bCs/>
          <w:color w:val="FF0000"/>
          <w:sz w:val="16"/>
          <w:szCs w:val="16"/>
          <w:lang w:val="pl-PL" w:eastAsia="pl-PL"/>
        </w:rPr>
      </w:pPr>
      <w:r w:rsidRPr="006A6681">
        <w:rPr>
          <w:rFonts w:ascii="Arial" w:eastAsia="Microsoft YaHei" w:hAnsi="Arial" w:cs="Arial"/>
          <w:b/>
          <w:bCs/>
          <w:color w:val="FF0000"/>
          <w:sz w:val="18"/>
          <w:szCs w:val="18"/>
          <w:lang w:val="pl-PL" w:eastAsia="pl-PL"/>
        </w:rPr>
        <w:t>Zmodyf. Zadanie I</w:t>
      </w:r>
      <w:r w:rsidRPr="006A6681">
        <w:rPr>
          <w:rFonts w:ascii="Arial" w:eastAsia="Microsoft YaHei" w:hAnsi="Arial" w:cs="Arial"/>
          <w:b/>
          <w:bCs/>
          <w:color w:val="FF0000"/>
          <w:sz w:val="16"/>
          <w:szCs w:val="16"/>
          <w:lang w:val="pl-PL" w:eastAsia="pl-PL"/>
        </w:rPr>
        <w:t xml:space="preserve">- Parametry graniczne RKZ </w:t>
      </w:r>
    </w:p>
    <w:p w:rsidR="0014381F" w:rsidRDefault="0014381F">
      <w:pPr>
        <w:jc w:val="right"/>
        <w:rPr>
          <w:rFonts w:ascii="Georgia" w:hAnsi="Georgia" w:cs="Georgia"/>
          <w:lang w:val="pl-PL"/>
        </w:rPr>
      </w:pPr>
    </w:p>
    <w:p w:rsidR="0014381F" w:rsidRPr="00EF4BF8" w:rsidRDefault="0014381F">
      <w:pPr>
        <w:jc w:val="center"/>
        <w:rPr>
          <w:sz w:val="22"/>
          <w:szCs w:val="22"/>
        </w:rPr>
      </w:pPr>
      <w:r w:rsidRPr="00EF4BF8">
        <w:rPr>
          <w:rFonts w:ascii="Cambria" w:hAnsi="Cambria" w:cs="Cambria"/>
          <w:b/>
          <w:sz w:val="22"/>
          <w:szCs w:val="22"/>
          <w:lang w:val="pl-PL"/>
        </w:rPr>
        <w:t>Parametry graniczne odczynników i analizatora do oznaczania parametrów rkz na potrzeby Medycznego Laboratorium Diagnostycznego</w:t>
      </w:r>
    </w:p>
    <w:p w:rsidR="0014381F" w:rsidRPr="00EF4BF8" w:rsidRDefault="0014381F">
      <w:pPr>
        <w:pStyle w:val="western"/>
        <w:spacing w:after="0"/>
        <w:rPr>
          <w:rFonts w:ascii="Cambria" w:hAnsi="Cambria" w:cs="Cambria"/>
          <w:sz w:val="20"/>
          <w:szCs w:val="20"/>
        </w:rPr>
      </w:pPr>
      <w:r w:rsidRPr="00EF4BF8">
        <w:rPr>
          <w:rFonts w:ascii="Cambria" w:hAnsi="Cambria" w:cs="Cambria"/>
          <w:sz w:val="20"/>
          <w:szCs w:val="20"/>
        </w:rPr>
        <w:t>Model aparatu: ……………</w:t>
      </w:r>
      <w:r>
        <w:rPr>
          <w:rFonts w:ascii="Cambria" w:hAnsi="Cambria" w:cs="Cambria"/>
          <w:sz w:val="20"/>
          <w:szCs w:val="20"/>
        </w:rPr>
        <w:t>……………………………</w:t>
      </w:r>
      <w:r w:rsidRPr="00EF4BF8">
        <w:rPr>
          <w:rFonts w:ascii="Cambria" w:hAnsi="Cambria" w:cs="Cambria"/>
          <w:sz w:val="20"/>
          <w:szCs w:val="20"/>
        </w:rPr>
        <w:t>.. Producent: …………………</w:t>
      </w:r>
      <w:r>
        <w:rPr>
          <w:rFonts w:ascii="Cambria" w:hAnsi="Cambria" w:cs="Cambria"/>
          <w:sz w:val="20"/>
          <w:szCs w:val="20"/>
        </w:rPr>
        <w:t>……………………………</w:t>
      </w:r>
      <w:r w:rsidRPr="00EF4BF8">
        <w:rPr>
          <w:rFonts w:ascii="Cambria" w:hAnsi="Cambria" w:cs="Cambria"/>
          <w:sz w:val="20"/>
          <w:szCs w:val="20"/>
        </w:rPr>
        <w:t>…. Rok produkcji: .................</w:t>
      </w:r>
    </w:p>
    <w:p w:rsidR="0014381F" w:rsidRDefault="0014381F">
      <w:pPr>
        <w:rPr>
          <w:rFonts w:ascii="Cambria" w:hAnsi="Cambria" w:cs="Cambria"/>
          <w:sz w:val="24"/>
          <w:szCs w:val="24"/>
          <w:lang w:val="pl-PL"/>
        </w:rPr>
      </w:pPr>
    </w:p>
    <w:tbl>
      <w:tblPr>
        <w:tblW w:w="10605" w:type="dxa"/>
        <w:tblInd w:w="-432" w:type="dxa"/>
        <w:tblLayout w:type="fixed"/>
        <w:tblLook w:val="0000"/>
      </w:tblPr>
      <w:tblGrid>
        <w:gridCol w:w="540"/>
        <w:gridCol w:w="6379"/>
        <w:gridCol w:w="1843"/>
        <w:gridCol w:w="1843"/>
      </w:tblGrid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PARAMETRY GRANICZNE ANALIZATORA/ODCZYNNIKÓW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jc w:val="center"/>
              <w:rPr>
                <w:rFonts w:ascii="Cambria" w:hAnsi="Cambria" w:cs="Cambria"/>
                <w:b/>
                <w:color w:val="000000"/>
                <w:lang w:val="pl-PL"/>
              </w:rPr>
            </w:pPr>
            <w:r>
              <w:rPr>
                <w:rFonts w:ascii="Cambria" w:hAnsi="Cambria" w:cs="Cambria"/>
                <w:b/>
                <w:color w:val="000000"/>
                <w:lang w:val="pl-PL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jc w:val="center"/>
              <w:rPr>
                <w:rFonts w:ascii="Cambria" w:hAnsi="Cambria" w:cs="Cambria"/>
                <w:b/>
                <w:color w:val="000000"/>
                <w:lang w:val="pl-PL"/>
              </w:rPr>
            </w:pPr>
            <w:r>
              <w:rPr>
                <w:rFonts w:ascii="Cambria" w:hAnsi="Cambria" w:cs="Cambria"/>
                <w:b/>
                <w:color w:val="000000"/>
                <w:lang w:val="pl-PL"/>
              </w:rPr>
              <w:t>PARAMETR OFEROWANY</w:t>
            </w:r>
          </w:p>
          <w:p w:rsidR="0014381F" w:rsidRDefault="0014381F">
            <w:pPr>
              <w:rPr>
                <w:rFonts w:ascii="Cambria" w:hAnsi="Cambria" w:cs="Cambria"/>
                <w:b/>
                <w:color w:val="FF6600"/>
                <w:lang w:val="pl-PL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r>
              <w:rPr>
                <w:rFonts w:ascii="Cambria" w:hAnsi="Cambria" w:cs="Cambria"/>
                <w:lang w:val="pl-PL"/>
              </w:rPr>
              <w:t>Parametry: pH, pO</w:t>
            </w:r>
            <w:r>
              <w:rPr>
                <w:rFonts w:ascii="Cambria" w:hAnsi="Cambria" w:cs="Cambria"/>
                <w:vertAlign w:val="subscript"/>
                <w:lang w:val="pl-PL"/>
              </w:rPr>
              <w:t>2</w:t>
            </w:r>
            <w:r>
              <w:rPr>
                <w:rFonts w:ascii="Cambria" w:hAnsi="Cambria" w:cs="Cambria"/>
                <w:lang w:val="pl-PL"/>
              </w:rPr>
              <w:t>, pCO</w:t>
            </w:r>
            <w:r>
              <w:rPr>
                <w:rFonts w:ascii="Cambria" w:hAnsi="Cambria" w:cs="Cambria"/>
                <w:vertAlign w:val="subscript"/>
                <w:lang w:val="pl-PL"/>
              </w:rPr>
              <w:t>2</w:t>
            </w:r>
            <w:r>
              <w:rPr>
                <w:rFonts w:ascii="Cambria" w:hAnsi="Cambria" w:cs="Cambria"/>
                <w:lang w:val="pl-PL"/>
              </w:rPr>
              <w:t>, Na, K, Cl, Ca,  oznaczane jednocześnie.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TAK,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Pr="006A6681" w:rsidRDefault="0014381F">
            <w:pPr>
              <w:rPr>
                <w:rFonts w:ascii="Cambria" w:hAnsi="Cambria" w:cs="Cambria"/>
                <w:color w:val="FF0000"/>
                <w:lang w:val="pl-PL"/>
              </w:rPr>
            </w:pPr>
            <w:r w:rsidRPr="006A6681">
              <w:rPr>
                <w:rFonts w:ascii="Cambria" w:hAnsi="Cambria" w:cs="Cambria"/>
                <w:color w:val="FF0000"/>
                <w:lang w:val="pl-PL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r>
              <w:rPr>
                <w:rFonts w:ascii="Cambria" w:hAnsi="Cambria" w:cs="Cambria"/>
                <w:lang w:val="pl-PL"/>
              </w:rPr>
              <w:t>Analizator - rok produkcji  - nie starszy niż 2021  r. dostarczony do laboratorium Zamawiającego po pełnym przeglądzie technicznym i wymianie wszystkich niezbędnych elementów gwarantujących prawidłową pracę analizatora.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TAK/PODAĆ NAZWĘ, MODEL, 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Analizator i odczynniki od tego samego producenta.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TAK, 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Analizator pracujący w systemie ciągłym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TAK,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Oddzielne kasety odczynnikowe i kasety z elektrodami.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TAK,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 xml:space="preserve">Podawanie materiału do analizatora z kapilary i strzykawki.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TAK,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spacing w:line="360" w:lineRule="auto"/>
              <w:rPr>
                <w:rFonts w:ascii="Cambria" w:hAnsi="Cambria" w:cs="Cambria"/>
                <w:bCs/>
                <w:lang w:val="pl-PL" w:eastAsia="ar-SA"/>
              </w:rPr>
            </w:pPr>
            <w:r>
              <w:rPr>
                <w:rFonts w:ascii="Cambria" w:hAnsi="Cambria" w:cs="Cambria"/>
                <w:bCs/>
                <w:lang w:val="pl-PL" w:eastAsia="ar-SA"/>
              </w:rPr>
              <w:t xml:space="preserve">Oprogramowanie analizatora, instrukcja obsługi analizatora w języku polskim. Wykonawca dostarczy instrukcję obsługi </w:t>
            </w:r>
            <w:r w:rsidRPr="00EE1D96">
              <w:rPr>
                <w:rFonts w:ascii="Cambria" w:hAnsi="Cambria" w:cs="Arial"/>
                <w:u w:val="single"/>
              </w:rPr>
              <w:t>(w języku polskim)</w:t>
            </w:r>
            <w:r>
              <w:rPr>
                <w:rFonts w:ascii="Cambria" w:hAnsi="Cambria" w:cs="Cambria"/>
                <w:bCs/>
                <w:lang w:val="pl-PL" w:eastAsia="ar-SA"/>
              </w:rPr>
              <w:t xml:space="preserve"> w wersji elektronicznej </w:t>
            </w:r>
            <w:r w:rsidRPr="00EE1D96">
              <w:rPr>
                <w:rFonts w:ascii="Cambria" w:hAnsi="Cambria" w:cs="Cambria"/>
                <w:bCs/>
                <w:lang w:val="pl-PL" w:eastAsia="ar-SA"/>
              </w:rPr>
              <w:t>wraz z pierwszą dostawą odczynników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TAK,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spacing w:line="360" w:lineRule="auto"/>
            </w:pPr>
            <w:r>
              <w:rPr>
                <w:rFonts w:ascii="Cambria" w:hAnsi="Cambria" w:cs="Cambria"/>
                <w:bCs/>
                <w:lang w:val="pl-PL" w:eastAsia="ar-SA"/>
              </w:rPr>
              <w:t xml:space="preserve">Maksymalna objętość próbki  80 </w:t>
            </w:r>
            <w:r>
              <w:rPr>
                <w:rFonts w:ascii="Cambria" w:hAnsi="Cambria" w:cs="Cambria"/>
                <w:lang w:val="pl-PL"/>
              </w:rPr>
              <w:t>µl.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TAK,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spacing w:line="360" w:lineRule="auto"/>
              <w:rPr>
                <w:rFonts w:ascii="Cambria" w:hAnsi="Cambria" w:cs="Cambri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spacing w:line="360" w:lineRule="auto"/>
              <w:rPr>
                <w:rFonts w:ascii="Cambria" w:hAnsi="Cambria" w:cs="Cambria"/>
                <w:bCs/>
                <w:spacing w:val="-1"/>
                <w:lang w:val="pl-PL" w:eastAsia="ar-SA"/>
              </w:rPr>
            </w:pPr>
            <w:r>
              <w:rPr>
                <w:rFonts w:ascii="Cambria" w:hAnsi="Cambria" w:cs="Cambria"/>
                <w:bCs/>
                <w:spacing w:val="-1"/>
                <w:lang w:val="pl-PL" w:eastAsia="ar-SA"/>
              </w:rPr>
              <w:t>Czas od momentu aspiracji do uzyskania wyniku nie więcej niż 60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TAK,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spacing w:line="360" w:lineRule="auto"/>
              <w:rPr>
                <w:rFonts w:ascii="Cambria" w:hAnsi="Cambria" w:cs="Cambria"/>
                <w:bCs/>
                <w:spacing w:val="-1"/>
                <w:lang w:val="pl-PL" w:eastAsia="ar-S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 w:eastAsia="ar-SA"/>
              </w:rPr>
            </w:pPr>
            <w:r>
              <w:rPr>
                <w:rFonts w:ascii="Cambria" w:hAnsi="Cambria" w:cs="Cambria"/>
                <w:lang w:val="pl-PL" w:eastAsia="ar-SA"/>
              </w:rPr>
              <w:t>Trwałość kaset od momentu zainstalowania w  aparacie min 30 dni.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 w:eastAsia="pl-PL"/>
              </w:rPr>
            </w:pPr>
            <w:r>
              <w:rPr>
                <w:rFonts w:ascii="Cambria" w:hAnsi="Cambria" w:cs="Cambria"/>
                <w:lang w:val="pl-PL" w:eastAsia="pl-PL"/>
              </w:rPr>
              <w:t>TAK,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ar-SA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Identyfikacja próbek badanych przy użyciu czytnika kodów kreskowych.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 xml:space="preserve">TAK,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 xml:space="preserve">Materiały kontrolne oznaczane na minimum 3 poziomach.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 xml:space="preserve">TAK,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  <w:tr w:rsidR="0014381F" w:rsidTr="00EF4B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 w:eastAsia="pl-PL"/>
              </w:rPr>
            </w:pPr>
            <w:r>
              <w:rPr>
                <w:rFonts w:ascii="Cambria" w:hAnsi="Cambria" w:cs="Cambria"/>
                <w:lang w:val="pl-PL" w:eastAsia="pl-PL"/>
              </w:rPr>
              <w:t>Dwukierunkowa komunikacja z laboratoryjnym systemem informatycznym. Wykonawca zobowiązany jest do podłączenia, w terminie do 7 dni od daty instalacji analizatora do laboratoryjnego systemu informatycznego (LIS). Podłączenie do LIS wyłącznie po sieci LAN. Wykonawca zobowiązany będzie do przekazania protokołu transmisji danych (w formie elektronicznej) w terminie do 3 dni od podpisania umowy. Szczegółowych informacji o  podłączeniu  do LIS  udziela p. Jarosław Kołton, …… Podłączenie do LIS na koszt Wykonawcy.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</w:p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pl-PL"/>
              </w:rPr>
            </w:pPr>
          </w:p>
        </w:tc>
      </w:tr>
      <w:tr w:rsidR="0014381F" w:rsidTr="00EF4BF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 w:eastAsia="pl-PL"/>
              </w:rPr>
            </w:pPr>
            <w:r>
              <w:rPr>
                <w:rFonts w:ascii="Cambria" w:hAnsi="Cambria" w:cs="Cambria"/>
                <w:lang w:val="pl-PL" w:eastAsia="pl-PL"/>
              </w:rPr>
              <w:t>Wyposażanie analizatora w UPS podtrzymujący pracę analizatora, przez minimum 30 minut. Serwisowanie urządzenie UPS po stronie Wykonawcy.</w:t>
            </w:r>
          </w:p>
          <w:p w:rsidR="0014381F" w:rsidRDefault="0014381F">
            <w:pPr>
              <w:rPr>
                <w:rFonts w:ascii="Cambria" w:hAnsi="Cambria" w:cs="Cambria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 w:eastAsia="pl-PL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Pełen zakres bezpłatnych usług serwisowych w okresie związania umową (przyjazdy, naprawy, części, robocizna).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TAK, PODAĆ NAZWĘ SERWISU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  <w:tr w:rsidR="0014381F" w:rsidTr="00EF4BF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widowControl w:val="0"/>
              <w:spacing w:line="276" w:lineRule="auto"/>
              <w:ind w:left="426" w:hanging="426"/>
              <w:jc w:val="both"/>
            </w:pPr>
            <w:r>
              <w:rPr>
                <w:rFonts w:ascii="Cambria" w:hAnsi="Cambria" w:cs="Cambria"/>
                <w:bCs/>
                <w:lang w:val="pl-PL"/>
              </w:rPr>
              <w:t xml:space="preserve">Czas reakcji serwisu (w godzinach pracy serwisu): - kontakt telefoniczny z inżynierem serwisowym:  </w:t>
            </w:r>
            <w:r>
              <w:rPr>
                <w:rFonts w:ascii="Cambria" w:hAnsi="Cambria" w:cs="Cambria"/>
                <w:bCs/>
                <w:u w:val="single"/>
                <w:lang w:val="pl-PL"/>
              </w:rPr>
              <w:t>do 1 godziny</w:t>
            </w:r>
            <w:r>
              <w:rPr>
                <w:rFonts w:ascii="Cambria" w:hAnsi="Cambria" w:cs="Cambria"/>
                <w:bCs/>
                <w:lang w:val="pl-PL"/>
              </w:rPr>
              <w:t xml:space="preserve"> od momentu zgłoszenia, jeżeli zgłoszenie nastąpiło w godzinach pracy serwisu;, </w:t>
            </w:r>
            <w:r>
              <w:rPr>
                <w:rFonts w:ascii="Cambria" w:hAnsi="Cambria" w:cs="Cambria"/>
                <w:bCs/>
                <w:u w:val="single"/>
                <w:lang w:val="pl-PL"/>
              </w:rPr>
              <w:t>natychmiastowy</w:t>
            </w:r>
            <w:r>
              <w:rPr>
                <w:rFonts w:ascii="Cambria" w:hAnsi="Cambria" w:cs="Cambria"/>
                <w:bCs/>
                <w:lang w:val="pl-PL"/>
              </w:rPr>
              <w:t xml:space="preserve"> po rozpoczęciu pracy serwisu,  jeżeli zgłoszenie nastąpiło poza godzinami pracy serwisu; </w:t>
            </w:r>
            <w:r>
              <w:rPr>
                <w:rFonts w:ascii="Cambria" w:hAnsi="Cambria" w:cs="Cambria"/>
                <w:bCs/>
                <w:u w:val="single"/>
                <w:lang w:val="pl-PL"/>
              </w:rPr>
              <w:t>przyjazd do laboratorium</w:t>
            </w:r>
            <w:r>
              <w:rPr>
                <w:rFonts w:ascii="Cambria" w:hAnsi="Cambria" w:cs="Cambria"/>
                <w:bCs/>
                <w:lang w:val="pl-PL"/>
              </w:rPr>
              <w:t xml:space="preserve"> (o ile zachodzi taka potrzeba) maksymalnie do 24 godzin od momentu kontaktu z serwisem (poniedziałek - piątek)). Jeżeli zgłoszenie nastąpiło w piątek, w godzinach pracy serwisu, przyjazd do laboratorium najpóźniej do godziny 9 w najbliższy poniedziałek.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TAK, PODAĆ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  <w:tr w:rsidR="0014381F" w:rsidTr="00EF4BF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Instalacja analizatora na koszt Wykonawcy, Wykonawca dostarczy analizator kompletny, gotowy do podjęcia pracy bez dodatkowych inwestycji ze strony Zamawiającego (poza niezbędnymi odczynnikami).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18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 xml:space="preserve">Wykonawca przeprowadzi minimum dwa szkolenia personelu MLD, pierwsze w momencie uruchomienia analizatora, dwa pozostałe po uzgodnieniu z kierownikiem MLD.   Szkolenia potwierdzone certyfikatami.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  <w:tr w:rsidR="0014381F" w:rsidTr="00EF4BF8">
        <w:trPr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19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14381F" w:rsidRDefault="0014381F">
            <w:pPr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Wykonawca  zapewni Zamawiającemu, na koszt własny, udział w Międzynarodowym Programie Kontroli Jakości Badań Laboratoryjnych, niezależnym od producenta odczynników i analizatora, częstotliwość – jedna próbka minimum jeden raz w miesiącu.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jc w:val="center"/>
              <w:rPr>
                <w:rFonts w:ascii="Cambria" w:hAnsi="Cambria" w:cs="Cambria"/>
                <w:lang w:val="pl-PL"/>
              </w:rPr>
            </w:pPr>
            <w:r>
              <w:rPr>
                <w:rFonts w:ascii="Cambria" w:hAnsi="Cambria" w:cs="Cambria"/>
                <w:lang w:val="pl-PL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1F" w:rsidRDefault="0014381F">
            <w:pPr>
              <w:snapToGrid w:val="0"/>
              <w:rPr>
                <w:rFonts w:ascii="Cambria" w:hAnsi="Cambria" w:cs="Cambria"/>
                <w:lang w:val="pl-PL"/>
              </w:rPr>
            </w:pPr>
          </w:p>
        </w:tc>
      </w:tr>
    </w:tbl>
    <w:p w:rsidR="0014381F" w:rsidRDefault="0014381F">
      <w:pPr>
        <w:rPr>
          <w:rFonts w:ascii="Cambria" w:hAnsi="Cambria" w:cs="Cambria"/>
          <w:lang w:val="pl-PL"/>
        </w:rPr>
      </w:pPr>
    </w:p>
    <w:p w:rsidR="0014381F" w:rsidRPr="002322B8" w:rsidRDefault="0014381F" w:rsidP="002322B8">
      <w:pPr>
        <w:rPr>
          <w:rFonts w:ascii="Cambria" w:hAnsi="Cambria" w:cs="Georgia"/>
          <w:b/>
          <w:lang w:val="pl-PL"/>
        </w:rPr>
      </w:pPr>
      <w:r w:rsidRPr="002322B8">
        <w:rPr>
          <w:rFonts w:ascii="Cambria" w:hAnsi="Cambria" w:cs="Georgia"/>
          <w:iCs/>
          <w:lang w:val="pl-PL"/>
        </w:rPr>
        <w:t>Parametry graniczne w/w analizatora zostały opracowane przez kierownika MLD SPZOZ Wolsztyn.</w:t>
      </w:r>
    </w:p>
    <w:p w:rsidR="0014381F" w:rsidRPr="002322B8" w:rsidRDefault="0014381F" w:rsidP="002322B8">
      <w:pPr>
        <w:spacing w:after="120" w:line="360" w:lineRule="auto"/>
        <w:rPr>
          <w:rFonts w:ascii="Cambria" w:hAnsi="Cambria" w:cs="Georgia"/>
          <w:lang w:val="pl-PL"/>
        </w:rPr>
      </w:pPr>
      <w:r w:rsidRPr="002322B8">
        <w:rPr>
          <w:rFonts w:ascii="Cambria" w:hAnsi="Cambria" w:cs="Georgia"/>
          <w:b/>
          <w:lang w:val="pl-PL"/>
        </w:rPr>
        <w:t>Uwaga: wypełnić tabele</w:t>
      </w:r>
    </w:p>
    <w:p w:rsidR="0014381F" w:rsidRPr="002322B8" w:rsidRDefault="0014381F" w:rsidP="00EF4BF8">
      <w:pPr>
        <w:tabs>
          <w:tab w:val="left" w:pos="16185"/>
        </w:tabs>
        <w:spacing w:after="120" w:line="100" w:lineRule="atLeast"/>
        <w:rPr>
          <w:rFonts w:ascii="Cambria" w:hAnsi="Cambria" w:cs="Georgia"/>
          <w:bCs/>
          <w:lang w:val="pl-PL"/>
        </w:rPr>
      </w:pPr>
      <w:r w:rsidRPr="002322B8">
        <w:rPr>
          <w:rFonts w:ascii="Cambria" w:hAnsi="Cambria" w:cs="Georgia"/>
          <w:lang w:val="pl-PL"/>
        </w:rPr>
        <w:t>1. Niespełnienie któregokolwiek parametru opisującego przedmiot zamówienia spowoduje odrzucenie oferty. Brak wartości w kolumnie „parametr oferowany” będzie traktowany jako brak danego parametru w oferowanym przedmiocie zamówienia.</w:t>
      </w:r>
    </w:p>
    <w:p w:rsidR="0014381F" w:rsidRPr="002322B8" w:rsidRDefault="0014381F" w:rsidP="00EF4BF8">
      <w:pPr>
        <w:tabs>
          <w:tab w:val="left" w:pos="16175"/>
        </w:tabs>
        <w:spacing w:after="120" w:line="100" w:lineRule="atLeast"/>
        <w:ind w:left="-10"/>
        <w:rPr>
          <w:rFonts w:ascii="Cambria" w:hAnsi="Cambria" w:cs="Georgia"/>
          <w:bCs/>
          <w:lang w:val="pl-PL"/>
        </w:rPr>
      </w:pPr>
      <w:r w:rsidRPr="002322B8">
        <w:rPr>
          <w:rFonts w:ascii="Cambria" w:hAnsi="Cambria" w:cs="Georgia"/>
          <w:bCs/>
          <w:lang w:val="pl-PL"/>
        </w:rPr>
        <w:t>2. Zamawiający zastrzega sobie prawo do sprawdzenia wiarygodności podanych przez Wykonawcę parametrów technicznych we wszystkich dostępnych źródłach w tym również poprzez zwrócenie się o złożenie dodatkowych wyjaśnień przez Wykonawcę lub producenta.</w:t>
      </w:r>
    </w:p>
    <w:p w:rsidR="0014381F" w:rsidRPr="002322B8" w:rsidRDefault="0014381F" w:rsidP="00EF4BF8">
      <w:pPr>
        <w:tabs>
          <w:tab w:val="left" w:pos="16175"/>
        </w:tabs>
        <w:spacing w:after="120" w:line="100" w:lineRule="atLeast"/>
        <w:ind w:left="-10"/>
        <w:rPr>
          <w:rFonts w:ascii="Cambria" w:hAnsi="Cambria" w:cs="Georgia"/>
          <w:color w:val="000000"/>
          <w:lang w:val="pl-PL" w:eastAsia="ar-SA"/>
        </w:rPr>
      </w:pPr>
      <w:r w:rsidRPr="002322B8">
        <w:rPr>
          <w:rFonts w:ascii="Cambria" w:hAnsi="Cambria" w:cs="Georgia"/>
          <w:bCs/>
          <w:lang w:val="pl-PL"/>
        </w:rPr>
        <w:t>3. Oświadczamy, że oferowane powyżej wyspecyfikowane urządzenie/analizator jest kompletne i będzie po zainstalowaniu gotowe do podjęcia działalności diagnostycznej bez żadnych dodatkowych zakupów i inwestycji (poza materiałami eksploatacyjnymi).</w:t>
      </w:r>
    </w:p>
    <w:p w:rsidR="0014381F" w:rsidRPr="006A6681" w:rsidRDefault="0014381F" w:rsidP="006A6681">
      <w:pPr>
        <w:pStyle w:val="Default"/>
        <w:jc w:val="both"/>
        <w:rPr>
          <w:rFonts w:ascii="Cambria" w:hAnsi="Cambria" w:cs="Cambria"/>
          <w:bCs/>
          <w:color w:val="FF0000"/>
          <w:sz w:val="22"/>
          <w:szCs w:val="22"/>
        </w:rPr>
      </w:pPr>
      <w:r w:rsidRPr="006A6681">
        <w:rPr>
          <w:rFonts w:ascii="Georgia" w:hAnsi="Georgia" w:cs="Georgia"/>
          <w:b/>
          <w:color w:val="FF0000"/>
        </w:rPr>
        <w:t>Zmiany w poz. 2:</w:t>
      </w:r>
      <w:r w:rsidRPr="006A6681">
        <w:rPr>
          <w:rFonts w:ascii="Georgia" w:hAnsi="Georgia" w:cs="Georgia"/>
          <w:color w:val="FF0000"/>
        </w:rPr>
        <w:t xml:space="preserve"> </w:t>
      </w:r>
      <w:r w:rsidRPr="006A6681">
        <w:rPr>
          <w:rFonts w:ascii="Cambria" w:hAnsi="Cambria" w:cs="Cambria"/>
          <w:bCs/>
          <w:color w:val="FF0000"/>
          <w:sz w:val="22"/>
          <w:szCs w:val="22"/>
        </w:rPr>
        <w:t xml:space="preserve">Zamawiający dopuszcza zaoferowanie analizatora </w:t>
      </w:r>
      <w:r w:rsidRPr="006A6681">
        <w:rPr>
          <w:rFonts w:ascii="Cambria" w:hAnsi="Cambria" w:cs="Cambria"/>
          <w:color w:val="FF0000"/>
          <w:sz w:val="22"/>
          <w:szCs w:val="22"/>
          <w:lang w:eastAsia="pl-PL"/>
        </w:rPr>
        <w:t xml:space="preserve">nie starszego niż rok produkcji </w:t>
      </w:r>
      <w:r w:rsidRPr="006A6681">
        <w:rPr>
          <w:rFonts w:ascii="Cambria" w:hAnsi="Cambria" w:cs="Times New Roman"/>
          <w:color w:val="FF0000"/>
          <w:sz w:val="22"/>
          <w:szCs w:val="22"/>
          <w:lang w:eastAsia="pl-PL"/>
        </w:rPr>
        <w:t>2020 r. po pełnym przeglądzie i objęty pełną gwarancją na czas trwania umowy, pod warunkiem zachowania pozostałych wymagań.</w:t>
      </w:r>
    </w:p>
    <w:p w:rsidR="0014381F" w:rsidRPr="006A6681" w:rsidRDefault="0014381F">
      <w:pPr>
        <w:rPr>
          <w:rFonts w:ascii="Georgia" w:hAnsi="Georgia" w:cs="Georgia"/>
          <w:color w:val="FF0000"/>
          <w:sz w:val="24"/>
          <w:szCs w:val="24"/>
          <w:lang w:val="pl-PL"/>
        </w:rPr>
      </w:pPr>
    </w:p>
    <w:p w:rsidR="0014381F" w:rsidRDefault="0014381F">
      <w:pPr>
        <w:spacing w:line="360" w:lineRule="auto"/>
        <w:jc w:val="right"/>
      </w:pPr>
      <w:r>
        <w:rPr>
          <w:rFonts w:ascii="Cambria" w:hAnsi="Cambria" w:cs="Cambria"/>
        </w:rPr>
        <w:t>……………………………………………….</w:t>
      </w:r>
    </w:p>
    <w:p w:rsidR="0014381F" w:rsidRDefault="0014381F">
      <w:pPr>
        <w:jc w:val="right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  <w:lang w:val="pl-PL"/>
        </w:rPr>
        <w:t>Data; kwalifikowany podpis elektroniczny lub podpis</w:t>
      </w:r>
    </w:p>
    <w:p w:rsidR="0014381F" w:rsidRDefault="0014381F">
      <w:pPr>
        <w:jc w:val="right"/>
      </w:pPr>
      <w:r>
        <w:rPr>
          <w:rFonts w:ascii="Cambria" w:hAnsi="Cambria" w:cs="Cambria"/>
          <w:i/>
          <w:lang w:val="pl-PL"/>
        </w:rPr>
        <w:t xml:space="preserve"> zaufany lub podpis osobisty</w:t>
      </w:r>
      <w:r>
        <w:rPr>
          <w:rFonts w:ascii="Cambria" w:hAnsi="Cambria" w:cs="Cambria"/>
          <w:i/>
        </w:rPr>
        <w:t xml:space="preserve"> </w:t>
      </w:r>
    </w:p>
    <w:p w:rsidR="0014381F" w:rsidRDefault="0014381F">
      <w:pPr>
        <w:rPr>
          <w:rFonts w:ascii="Georgia" w:hAnsi="Georgia" w:cs="Georgia"/>
          <w:i/>
          <w:sz w:val="24"/>
          <w:szCs w:val="24"/>
          <w:lang w:val="pl-PL"/>
        </w:rPr>
      </w:pPr>
    </w:p>
    <w:sectPr w:rsidR="0014381F" w:rsidSect="002911D9">
      <w:headerReference w:type="default" r:id="rId6"/>
      <w:pgSz w:w="12240" w:h="15840"/>
      <w:pgMar w:top="764" w:right="1325" w:bottom="540" w:left="993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1F" w:rsidRDefault="0014381F" w:rsidP="002911D9">
      <w:r>
        <w:separator/>
      </w:r>
    </w:p>
  </w:endnote>
  <w:endnote w:type="continuationSeparator" w:id="0">
    <w:p w:rsidR="0014381F" w:rsidRDefault="0014381F" w:rsidP="00291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1F" w:rsidRDefault="0014381F">
      <w:pPr>
        <w:rPr>
          <w:sz w:val="12"/>
        </w:rPr>
      </w:pPr>
      <w:r>
        <w:separator/>
      </w:r>
    </w:p>
  </w:footnote>
  <w:footnote w:type="continuationSeparator" w:id="0">
    <w:p w:rsidR="0014381F" w:rsidRDefault="0014381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1F" w:rsidRDefault="0014381F">
    <w:pPr>
      <w:pStyle w:val="Header"/>
      <w:ind w:left="-142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SPZOZ w Wolsztynie, TP/21/2024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D9"/>
    <w:rsid w:val="000661FF"/>
    <w:rsid w:val="001217D7"/>
    <w:rsid w:val="0014381F"/>
    <w:rsid w:val="001F6088"/>
    <w:rsid w:val="002037A8"/>
    <w:rsid w:val="002121D3"/>
    <w:rsid w:val="002322B8"/>
    <w:rsid w:val="002911D9"/>
    <w:rsid w:val="00361683"/>
    <w:rsid w:val="00427A9B"/>
    <w:rsid w:val="004607B9"/>
    <w:rsid w:val="004938A5"/>
    <w:rsid w:val="005D553C"/>
    <w:rsid w:val="0062400C"/>
    <w:rsid w:val="006737EA"/>
    <w:rsid w:val="006A6681"/>
    <w:rsid w:val="006D2649"/>
    <w:rsid w:val="007A3F9A"/>
    <w:rsid w:val="008629D9"/>
    <w:rsid w:val="00891DF4"/>
    <w:rsid w:val="008C4176"/>
    <w:rsid w:val="00975157"/>
    <w:rsid w:val="00A12F5A"/>
    <w:rsid w:val="00AF4C54"/>
    <w:rsid w:val="00B81E16"/>
    <w:rsid w:val="00BB7C9F"/>
    <w:rsid w:val="00C36F1F"/>
    <w:rsid w:val="00D202F5"/>
    <w:rsid w:val="00D61D1B"/>
    <w:rsid w:val="00EE1D96"/>
    <w:rsid w:val="00EF4BF8"/>
    <w:rsid w:val="00F4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D9"/>
    <w:pPr>
      <w:suppressAutoHyphens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2">
    <w:name w:val="Domyślna czcionka akapitu2"/>
    <w:uiPriority w:val="99"/>
    <w:rsid w:val="002911D9"/>
  </w:style>
  <w:style w:type="character" w:customStyle="1" w:styleId="Domylnaczcionkaakapitu1">
    <w:name w:val="Domyślna czcionka akapitu1"/>
    <w:uiPriority w:val="99"/>
    <w:rsid w:val="002911D9"/>
  </w:style>
  <w:style w:type="character" w:customStyle="1" w:styleId="HeaderChar">
    <w:name w:val="Header Char"/>
    <w:basedOn w:val="Domylnaczcionkaakapitu1"/>
    <w:uiPriority w:val="99"/>
    <w:rsid w:val="002911D9"/>
    <w:rPr>
      <w:rFonts w:ascii="Arial" w:hAnsi="Arial" w:cs="Arial"/>
      <w:sz w:val="24"/>
      <w:szCs w:val="24"/>
      <w:lang w:val="pl-PL" w:bidi="ar-SA"/>
    </w:rPr>
  </w:style>
  <w:style w:type="character" w:customStyle="1" w:styleId="Znakiprzypiswdolnych">
    <w:name w:val="Znaki przypisów dolnych"/>
    <w:basedOn w:val="DefaultParagraphFont"/>
    <w:uiPriority w:val="99"/>
    <w:rsid w:val="002911D9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2911D9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2911D9"/>
    <w:rPr>
      <w:vertAlign w:val="superscript"/>
    </w:rPr>
  </w:style>
  <w:style w:type="character" w:customStyle="1" w:styleId="WW-Znakiprzypiswkocowych">
    <w:name w:val="WW-Znaki przypisów końcowych"/>
    <w:uiPriority w:val="99"/>
    <w:rsid w:val="002911D9"/>
  </w:style>
  <w:style w:type="character" w:styleId="EndnoteReference">
    <w:name w:val="endnote reference"/>
    <w:basedOn w:val="DefaultParagraphFont"/>
    <w:uiPriority w:val="99"/>
    <w:rsid w:val="002911D9"/>
    <w:rPr>
      <w:rFonts w:cs="Times New Roman"/>
      <w:vertAlign w:val="superscript"/>
    </w:rPr>
  </w:style>
  <w:style w:type="paragraph" w:styleId="Header">
    <w:name w:val="header"/>
    <w:basedOn w:val="Normal"/>
    <w:next w:val="BodyText"/>
    <w:link w:val="HeaderChar1"/>
    <w:uiPriority w:val="99"/>
    <w:rsid w:val="002911D9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  <w:lang w:val="pl-PL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61D1B"/>
    <w:rPr>
      <w:rFonts w:ascii="Times New Roman" w:hAnsi="Times New Roman" w:cs="Times New Roman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2911D9"/>
    <w:pPr>
      <w:widowControl w:val="0"/>
      <w:spacing w:after="120"/>
    </w:pPr>
    <w:rPr>
      <w:rFonts w:cs="Tahoma"/>
      <w:sz w:val="24"/>
      <w:szCs w:val="24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1D1B"/>
    <w:rPr>
      <w:rFonts w:ascii="Times New Roman" w:hAnsi="Times New Roman" w:cs="Times New Roman"/>
      <w:sz w:val="20"/>
      <w:szCs w:val="20"/>
      <w:lang w:val="en-US" w:eastAsia="zh-CN"/>
    </w:rPr>
  </w:style>
  <w:style w:type="paragraph" w:styleId="List">
    <w:name w:val="List"/>
    <w:basedOn w:val="BodyText"/>
    <w:uiPriority w:val="99"/>
    <w:rsid w:val="002911D9"/>
    <w:rPr>
      <w:rFonts w:ascii="Calibri" w:hAnsi="Calibri" w:cs="Arial"/>
    </w:rPr>
  </w:style>
  <w:style w:type="paragraph" w:styleId="Caption">
    <w:name w:val="caption"/>
    <w:basedOn w:val="Normal"/>
    <w:uiPriority w:val="99"/>
    <w:qFormat/>
    <w:rsid w:val="002911D9"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911D9"/>
    <w:pPr>
      <w:suppressLineNumbers/>
    </w:pPr>
    <w:rPr>
      <w:rFonts w:ascii="Calibri" w:hAnsi="Calibri" w:cs="Arial"/>
    </w:rPr>
  </w:style>
  <w:style w:type="paragraph" w:customStyle="1" w:styleId="Nagwek2">
    <w:name w:val="Nagłówek2"/>
    <w:basedOn w:val="Normal"/>
    <w:next w:val="BodyText"/>
    <w:uiPriority w:val="99"/>
    <w:rsid w:val="002911D9"/>
    <w:pPr>
      <w:keepNext/>
      <w:spacing w:before="240" w:after="120"/>
    </w:pPr>
    <w:rPr>
      <w:rFonts w:ascii="Calibri" w:eastAsia="Microsoft YaHei" w:hAnsi="Calibri" w:cs="Arial"/>
      <w:sz w:val="28"/>
      <w:szCs w:val="28"/>
    </w:rPr>
  </w:style>
  <w:style w:type="paragraph" w:customStyle="1" w:styleId="Nagwek1">
    <w:name w:val="Nagłówek1"/>
    <w:basedOn w:val="Normal"/>
    <w:next w:val="BodyText"/>
    <w:uiPriority w:val="99"/>
    <w:rsid w:val="002911D9"/>
    <w:pPr>
      <w:keepNext/>
      <w:spacing w:before="240" w:after="120"/>
    </w:pPr>
    <w:rPr>
      <w:rFonts w:ascii="Calibri" w:eastAsia="Microsoft YaHei" w:hAnsi="Calibri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2911D9"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Gwkaistopka">
    <w:name w:val="Główka i stopka"/>
    <w:basedOn w:val="Normal"/>
    <w:uiPriority w:val="99"/>
    <w:rsid w:val="002911D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"/>
    <w:uiPriority w:val="99"/>
    <w:rsid w:val="002911D9"/>
    <w:pPr>
      <w:suppressLineNumbers/>
    </w:pPr>
  </w:style>
  <w:style w:type="paragraph" w:customStyle="1" w:styleId="Nagwektabeli">
    <w:name w:val="Nagłówek tabeli"/>
    <w:basedOn w:val="Zawartotabeli"/>
    <w:uiPriority w:val="99"/>
    <w:rsid w:val="002911D9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2911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1D1B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western">
    <w:name w:val="western"/>
    <w:basedOn w:val="Normal"/>
    <w:uiPriority w:val="99"/>
    <w:rsid w:val="002911D9"/>
    <w:pPr>
      <w:suppressAutoHyphens w:val="0"/>
      <w:spacing w:before="280" w:after="119"/>
    </w:pPr>
    <w:rPr>
      <w:color w:val="000000"/>
      <w:sz w:val="24"/>
      <w:szCs w:val="24"/>
      <w:lang w:val="pl-PL"/>
    </w:rPr>
  </w:style>
  <w:style w:type="paragraph" w:styleId="FootnoteText">
    <w:name w:val="footnote text"/>
    <w:basedOn w:val="Normal"/>
    <w:link w:val="FootnoteTextChar"/>
    <w:uiPriority w:val="99"/>
    <w:rsid w:val="002911D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1D1B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Default">
    <w:name w:val="Default"/>
    <w:uiPriority w:val="99"/>
    <w:rsid w:val="006A66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676</Words>
  <Characters>4056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 aparatu</dc:title>
  <dc:subject/>
  <dc:creator>Sajewicz</dc:creator>
  <cp:keywords/>
  <dc:description/>
  <cp:lastModifiedBy>Bernadeta Kurp</cp:lastModifiedBy>
  <cp:revision>15</cp:revision>
  <cp:lastPrinted>2024-12-10T06:59:00Z</cp:lastPrinted>
  <dcterms:created xsi:type="dcterms:W3CDTF">2022-11-07T08:35:00Z</dcterms:created>
  <dcterms:modified xsi:type="dcterms:W3CDTF">2024-12-10T06:59:00Z</dcterms:modified>
</cp:coreProperties>
</file>