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93" w14:textId="706ECC5A" w:rsidR="00C72E33" w:rsidRPr="00D3645A" w:rsidRDefault="00514881" w:rsidP="00477267">
      <w:pPr>
        <w:spacing w:line="360" w:lineRule="auto"/>
        <w:jc w:val="right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 xml:space="preserve">Poznań, </w:t>
      </w:r>
      <w:r w:rsidR="007B1379">
        <w:rPr>
          <w:rFonts w:ascii="Acumin Pro" w:hAnsi="Acumin Pro"/>
          <w:sz w:val="20"/>
          <w:szCs w:val="20"/>
          <w:lang w:val="pl-PL"/>
        </w:rPr>
        <w:t>14</w:t>
      </w:r>
      <w:r w:rsidR="00506A4B">
        <w:rPr>
          <w:rFonts w:ascii="Acumin Pro" w:hAnsi="Acumin Pro"/>
          <w:sz w:val="20"/>
          <w:szCs w:val="20"/>
          <w:lang w:val="pl-PL"/>
        </w:rPr>
        <w:t>.02.2023 r.</w:t>
      </w:r>
    </w:p>
    <w:p w14:paraId="03845DB8" w14:textId="6FD1822C" w:rsidR="006B3105" w:rsidRPr="00D3645A" w:rsidRDefault="006B3105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AZ.281.</w:t>
      </w:r>
      <w:r w:rsidR="00A7183E" w:rsidRPr="00D3645A">
        <w:rPr>
          <w:rFonts w:ascii="Acumin Pro" w:hAnsi="Acumin Pro"/>
          <w:sz w:val="20"/>
          <w:szCs w:val="20"/>
          <w:lang w:val="pl-PL"/>
        </w:rPr>
        <w:t>2.</w:t>
      </w:r>
      <w:r w:rsidR="00E23AEE">
        <w:rPr>
          <w:rFonts w:ascii="Acumin Pro" w:hAnsi="Acumin Pro"/>
          <w:sz w:val="20"/>
          <w:szCs w:val="20"/>
          <w:lang w:val="pl-PL"/>
        </w:rPr>
        <w:t>2</w:t>
      </w:r>
      <w:r w:rsidRPr="00D3645A">
        <w:rPr>
          <w:rFonts w:ascii="Acumin Pro" w:hAnsi="Acumin Pro"/>
          <w:sz w:val="20"/>
          <w:szCs w:val="20"/>
          <w:lang w:val="pl-PL"/>
        </w:rPr>
        <w:t>.202</w:t>
      </w:r>
      <w:r w:rsidR="00E23AEE">
        <w:rPr>
          <w:rFonts w:ascii="Acumin Pro" w:hAnsi="Acumin Pro"/>
          <w:sz w:val="20"/>
          <w:szCs w:val="20"/>
          <w:lang w:val="pl-PL"/>
        </w:rPr>
        <w:t>3</w:t>
      </w:r>
    </w:p>
    <w:p w14:paraId="080C080E" w14:textId="77777777" w:rsidR="00983CBC" w:rsidRPr="00D3645A" w:rsidRDefault="00983CBC" w:rsidP="00477267">
      <w:pPr>
        <w:spacing w:line="360" w:lineRule="auto"/>
        <w:rPr>
          <w:rFonts w:ascii="Acumin Pro" w:hAnsi="Acumin Pro"/>
          <w:sz w:val="20"/>
          <w:szCs w:val="20"/>
          <w:lang w:val="pl-PL"/>
        </w:rPr>
      </w:pPr>
    </w:p>
    <w:p w14:paraId="0658C065" w14:textId="394B26D0" w:rsidR="00E23AEE" w:rsidRDefault="00E23AEE" w:rsidP="00E23AEE">
      <w:pPr>
        <w:spacing w:line="360" w:lineRule="auto"/>
        <w:jc w:val="both"/>
        <w:rPr>
          <w:rFonts w:ascii="Acumin Pro" w:hAnsi="Acumin Pro"/>
          <w:b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dot. przeprowadzenia postępowania w trybie podstawowym bez negocjacji na </w:t>
      </w:r>
      <w:r>
        <w:rPr>
          <w:rFonts w:ascii="Acumin Pro" w:hAnsi="Acumin Pro"/>
          <w:b/>
          <w:sz w:val="20"/>
          <w:szCs w:val="20"/>
          <w:lang w:val="pl-PL"/>
        </w:rPr>
        <w:t xml:space="preserve">Wykonanie robót budowlano – konserwatorskich elewacji dziedzińca Zamku w </w:t>
      </w:r>
      <w:r w:rsidRPr="005905CD">
        <w:rPr>
          <w:rFonts w:ascii="Acumin Pro" w:hAnsi="Acumin Pro"/>
          <w:bCs/>
          <w:sz w:val="20"/>
          <w:szCs w:val="20"/>
          <w:lang w:val="pl-PL"/>
        </w:rPr>
        <w:t>Gołuchowie</w:t>
      </w:r>
      <w:r>
        <w:rPr>
          <w:rFonts w:ascii="Acumin Pro" w:hAnsi="Acumin Pro"/>
          <w:b/>
          <w:sz w:val="20"/>
          <w:szCs w:val="20"/>
          <w:lang w:val="pl-PL"/>
        </w:rPr>
        <w:t>, Oddziału Muzeum Narodowego w Poznaniu.</w:t>
      </w:r>
    </w:p>
    <w:p w14:paraId="180D1E70" w14:textId="77777777" w:rsidR="00E23AEE" w:rsidRDefault="00E23AEE" w:rsidP="006B1D5A">
      <w:pPr>
        <w:spacing w:line="360" w:lineRule="auto"/>
        <w:jc w:val="center"/>
        <w:rPr>
          <w:rFonts w:ascii="Acumin Pro" w:hAnsi="Acumin Pro"/>
          <w:b/>
          <w:sz w:val="20"/>
          <w:szCs w:val="20"/>
          <w:lang w:val="pl-PL"/>
        </w:rPr>
      </w:pPr>
    </w:p>
    <w:p w14:paraId="193F801F" w14:textId="6585E6DE" w:rsidR="008D2E7E" w:rsidRPr="008D2E7E" w:rsidRDefault="008D2E7E" w:rsidP="008D2E7E">
      <w:pPr>
        <w:spacing w:line="360" w:lineRule="auto"/>
        <w:jc w:val="center"/>
        <w:rPr>
          <w:rFonts w:ascii="Acumin Pro" w:hAnsi="Acumin Pro"/>
          <w:b/>
          <w:bCs/>
          <w:sz w:val="20"/>
          <w:szCs w:val="20"/>
          <w:lang w:val="pl-PL"/>
        </w:rPr>
      </w:pPr>
      <w:r w:rsidRPr="008D2E7E">
        <w:rPr>
          <w:rFonts w:ascii="Acumin Pro" w:hAnsi="Acumin Pro"/>
          <w:b/>
          <w:bCs/>
          <w:sz w:val="20"/>
          <w:szCs w:val="20"/>
          <w:lang w:val="pl-PL"/>
        </w:rPr>
        <w:t>ZMIANA TREŚCI SWZ</w:t>
      </w:r>
    </w:p>
    <w:p w14:paraId="30DC84AE" w14:textId="0600E222" w:rsidR="00FB441A" w:rsidRDefault="00E2301B" w:rsidP="00E23AEE">
      <w:pPr>
        <w:spacing w:line="360" w:lineRule="auto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D3645A">
        <w:rPr>
          <w:rFonts w:ascii="Acumin Pro" w:hAnsi="Acumin Pro"/>
          <w:sz w:val="20"/>
          <w:szCs w:val="20"/>
          <w:lang w:val="pl-PL"/>
        </w:rPr>
        <w:t>Zamawiający w oparciu o art.</w:t>
      </w:r>
      <w:r w:rsidR="00BC4631" w:rsidRPr="00D3645A">
        <w:rPr>
          <w:rFonts w:ascii="Acumin Pro" w:hAnsi="Acumin Pro"/>
          <w:sz w:val="20"/>
          <w:szCs w:val="20"/>
          <w:lang w:val="pl-PL"/>
        </w:rPr>
        <w:t xml:space="preserve"> 286 ust. 1 </w:t>
      </w:r>
      <w:r w:rsidRPr="00D3645A">
        <w:rPr>
          <w:rFonts w:ascii="Acumin Pro" w:hAnsi="Acumin Pro"/>
          <w:sz w:val="20"/>
          <w:szCs w:val="20"/>
          <w:lang w:val="pl-PL"/>
        </w:rPr>
        <w:t>ustawy Prawo zamówień publicznych</w:t>
      </w:r>
      <w:r w:rsidR="00E23AEE">
        <w:rPr>
          <w:rFonts w:ascii="Acumin Pro" w:hAnsi="Acumin Pro"/>
          <w:sz w:val="20"/>
          <w:szCs w:val="20"/>
          <w:lang w:val="pl-PL"/>
        </w:rPr>
        <w:t xml:space="preserve"> </w:t>
      </w:r>
      <w:r w:rsidR="00BC4631" w:rsidRPr="00E23AEE">
        <w:rPr>
          <w:rFonts w:ascii="Acumin Pro" w:hAnsi="Acumin Pro"/>
          <w:sz w:val="20"/>
          <w:szCs w:val="20"/>
          <w:lang w:val="pl-PL"/>
        </w:rPr>
        <w:t xml:space="preserve">zmienia </w:t>
      </w:r>
      <w:r w:rsidR="00FB441A" w:rsidRPr="00E23AEE">
        <w:rPr>
          <w:rFonts w:ascii="Acumin Pro" w:hAnsi="Acumin Pro"/>
          <w:sz w:val="20"/>
          <w:szCs w:val="20"/>
          <w:lang w:val="pl-PL"/>
        </w:rPr>
        <w:t xml:space="preserve">treść </w:t>
      </w:r>
      <w:r w:rsidR="007B1379" w:rsidRPr="007B1379">
        <w:rPr>
          <w:rFonts w:ascii="Acumin Pro" w:hAnsi="Acumin Pro"/>
          <w:sz w:val="20"/>
          <w:szCs w:val="20"/>
          <w:lang w:val="pl-PL"/>
        </w:rPr>
        <w:t>Specyfikacji Warunków Zamówienia</w:t>
      </w:r>
      <w:r w:rsidR="007B1379">
        <w:rPr>
          <w:rFonts w:ascii="Acumin Pro" w:hAnsi="Acumin Pro"/>
          <w:sz w:val="20"/>
          <w:szCs w:val="20"/>
          <w:lang w:val="pl-PL"/>
        </w:rPr>
        <w:t xml:space="preserve"> (dalej SWZ)</w:t>
      </w:r>
      <w:r w:rsidR="007B1379">
        <w:rPr>
          <w:rFonts w:ascii="Acumin Pro" w:hAnsi="Acumin Pro"/>
          <w:b/>
          <w:sz w:val="20"/>
          <w:szCs w:val="20"/>
          <w:lang w:val="pl-PL"/>
        </w:rPr>
        <w:t xml:space="preserve">  </w:t>
      </w:r>
      <w:r w:rsidR="007B1379" w:rsidRPr="007B1379">
        <w:rPr>
          <w:rFonts w:ascii="Acumin Pro" w:hAnsi="Acumin Pro"/>
          <w:bCs/>
          <w:sz w:val="20"/>
          <w:szCs w:val="20"/>
          <w:lang w:val="pl-PL"/>
        </w:rPr>
        <w:t>w następującym zakresie</w:t>
      </w:r>
      <w:r w:rsidR="00FB441A" w:rsidRPr="007B1379">
        <w:rPr>
          <w:rFonts w:ascii="Acumin Pro" w:hAnsi="Acumin Pro"/>
          <w:bCs/>
          <w:sz w:val="20"/>
          <w:szCs w:val="20"/>
          <w:lang w:val="pl-PL"/>
        </w:rPr>
        <w:t>:</w:t>
      </w:r>
    </w:p>
    <w:p w14:paraId="5CC5E50D" w14:textId="0B4B7DBC" w:rsidR="007B1379" w:rsidRPr="007B1379" w:rsidRDefault="007B1379" w:rsidP="007B137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cumin Pro" w:hAnsi="Acumin Pro"/>
          <w:bCs/>
          <w:sz w:val="20"/>
          <w:szCs w:val="20"/>
          <w:lang w:val="pl-PL"/>
        </w:rPr>
      </w:pPr>
      <w:r w:rsidRPr="007B1379">
        <w:rPr>
          <w:rFonts w:ascii="Acumin Pro" w:hAnsi="Acumin Pro"/>
          <w:bCs/>
          <w:sz w:val="20"/>
          <w:szCs w:val="20"/>
          <w:lang w:val="pl-PL"/>
        </w:rPr>
        <w:t xml:space="preserve">w załączniku nr </w:t>
      </w:r>
      <w:r w:rsidR="0001061C">
        <w:rPr>
          <w:rFonts w:ascii="Acumin Pro" w:hAnsi="Acumin Pro"/>
          <w:bCs/>
          <w:sz w:val="20"/>
          <w:szCs w:val="20"/>
          <w:lang w:val="pl-PL"/>
        </w:rPr>
        <w:t xml:space="preserve">6 </w:t>
      </w:r>
      <w:r w:rsidRPr="007B1379">
        <w:rPr>
          <w:rFonts w:ascii="Acumin Pro" w:hAnsi="Acumin Pro"/>
          <w:bCs/>
          <w:sz w:val="20"/>
          <w:szCs w:val="20"/>
          <w:lang w:val="pl-PL"/>
        </w:rPr>
        <w:t>do SWZ (wzór umowy) wprowadza się §9a o brzmieniu:</w:t>
      </w:r>
    </w:p>
    <w:p w14:paraId="675E1BB5" w14:textId="77777777" w:rsidR="007B1379" w:rsidRPr="007B1379" w:rsidRDefault="007B1379" w:rsidP="007B1379">
      <w:pPr>
        <w:pStyle w:val="Akapitzlist"/>
        <w:spacing w:line="360" w:lineRule="auto"/>
        <w:ind w:left="0"/>
        <w:jc w:val="center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</w:p>
    <w:p w14:paraId="3DE5BAB7" w14:textId="149D088F" w:rsidR="007B1379" w:rsidRPr="00BB15D2" w:rsidRDefault="007B1379" w:rsidP="007B1379">
      <w:pPr>
        <w:pStyle w:val="Akapitzlist"/>
        <w:spacing w:line="360" w:lineRule="auto"/>
        <w:ind w:left="0"/>
        <w:jc w:val="center"/>
        <w:rPr>
          <w:rFonts w:ascii="Acumin Pro" w:hAnsi="Acumin Pro"/>
          <w:b/>
          <w:color w:val="000000" w:themeColor="text1"/>
          <w:sz w:val="20"/>
          <w:szCs w:val="20"/>
        </w:rPr>
      </w:pPr>
      <w:r>
        <w:rPr>
          <w:rFonts w:ascii="Acumin Pro" w:hAnsi="Acumin Pro"/>
          <w:b/>
          <w:color w:val="000000" w:themeColor="text1"/>
          <w:sz w:val="20"/>
          <w:szCs w:val="20"/>
        </w:rPr>
        <w:t>“</w:t>
      </w:r>
      <w:r w:rsidRPr="00BB15D2">
        <w:rPr>
          <w:rFonts w:ascii="Acumin Pro" w:hAnsi="Acumin Pro"/>
          <w:b/>
          <w:color w:val="000000" w:themeColor="text1"/>
          <w:sz w:val="20"/>
          <w:szCs w:val="20"/>
        </w:rPr>
        <w:t xml:space="preserve">§ </w:t>
      </w:r>
      <w:r>
        <w:rPr>
          <w:rFonts w:ascii="Acumin Pro" w:hAnsi="Acumin Pro"/>
          <w:b/>
          <w:color w:val="000000" w:themeColor="text1"/>
          <w:sz w:val="20"/>
          <w:szCs w:val="20"/>
        </w:rPr>
        <w:t>9a</w:t>
      </w:r>
    </w:p>
    <w:p w14:paraId="3138D925" w14:textId="77777777" w:rsidR="007B1379" w:rsidRPr="007B1379" w:rsidRDefault="007B1379" w:rsidP="007B1379">
      <w:pPr>
        <w:pStyle w:val="Akapitzlist"/>
        <w:spacing w:line="360" w:lineRule="auto"/>
        <w:ind w:left="0"/>
        <w:jc w:val="center"/>
        <w:rPr>
          <w:rFonts w:ascii="Acumin Pro" w:hAnsi="Acumin Pro"/>
          <w:b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/>
          <w:color w:val="000000" w:themeColor="text1"/>
          <w:sz w:val="20"/>
          <w:szCs w:val="20"/>
          <w:lang w:val="pl-PL"/>
        </w:rPr>
        <w:t xml:space="preserve">Waloryzacja umownego wynagrodzenia </w:t>
      </w:r>
    </w:p>
    <w:p w14:paraId="6CEF3209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Każda ze Stron uprawniona jest do żądania zmiany wysokości wynagrodzenia Wykonawcy, gdy wskaźnik cen produkcji budowlano – montażowej robót specjalistycznych ogłaszany w komunikacie Prezesa Głównego Urzędu Statystycznego za ostatni miesiąc poprzedzający wniosek  o waloryzację wzrośnie/spadnie o co najmniej 5% w stosunku do wysokości tego wskaźnika w miesiącu składania oferty.</w:t>
      </w:r>
    </w:p>
    <w:p w14:paraId="2F5F7C0E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Jeżeli zawarcie umowy nastąpiło po upływie 180 dni od dnia upływu terminu składania ofert, początkowym terminem ustalenia zmiany wynagrodzenia jest dzień otwarcia ofert.</w:t>
      </w:r>
    </w:p>
    <w:p w14:paraId="7D26F76E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Maksymalny wzrost wynagrodzenia Wykonawcy w związku z waloryzacją wynagrodzenia nie może przekroczyć 5% wartości wynagrodzenia określonego w § 3 ust. 1 umowy.</w:t>
      </w:r>
    </w:p>
    <w:p w14:paraId="5AEF28B3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Waloryzacja wynagrodzenia dopuszczalna jest tylko raz, nie wcześniej niż po upływie 6 (sześciu) miesięcy od dnia zawarcia umowy. Waloryzacja nie dotyczy wynagrodzenia za roboty budowlane wykonane przed datą złożenia wniosku.</w:t>
      </w:r>
    </w:p>
    <w:p w14:paraId="23F9510B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Strona żądająca zmiany wysokości wynagrodzenia składa drugiej Stronie wniosek o dokonanie waloryzacji wynagrodzenia wraz z uzasadnieniem wskazującym wysokość wskaźnika oraz zakres i wartość robót podlegających waloryzacji (niewykonanych do dnia złożenia wniosku).</w:t>
      </w:r>
    </w:p>
    <w:p w14:paraId="2EA6C9B2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W przypadku wątpliwości w zakresie przedstawionych informacji każda ze Stron umowy może żądać uzupełnienia bądź poprawienia wniosku.</w:t>
      </w:r>
    </w:p>
    <w:p w14:paraId="4F947C11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 xml:space="preserve">Wykonawca, którego wynagrodzenie zostało zmienione na zasadach przewidzianych w niniejszym paragrafie, zobowiązany jest do zmiany wynagrodzenia przysługującego podwykonawcy, z którym zawarł umowę zgodnie z § 7 umowy, w zakresie odpowiadającym </w:t>
      </w: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lastRenderedPageBreak/>
        <w:t>zmianom cen materiałów lub kosztów dotyczących zobowiązania podwykonawcy, jeżeli łącznie spełnione są następujące warunki:</w:t>
      </w:r>
    </w:p>
    <w:p w14:paraId="0E68802E" w14:textId="77777777" w:rsidR="007B1379" w:rsidRPr="007B1379" w:rsidRDefault="007B1379" w:rsidP="007B1379">
      <w:pPr>
        <w:pStyle w:val="Akapitzlist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przedmiotem umowy podwykonawczej są roboty budowlane, dostawy lub usługi,</w:t>
      </w:r>
    </w:p>
    <w:p w14:paraId="5A0A1CAE" w14:textId="77777777" w:rsidR="007B1379" w:rsidRPr="007B1379" w:rsidRDefault="007B1379" w:rsidP="007B1379">
      <w:pPr>
        <w:pStyle w:val="Akapitzlist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09" w:hanging="283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okres obowiązywania umowy podwykonawczej przekracza 6 (sześć) miesięcy.</w:t>
      </w:r>
    </w:p>
    <w:p w14:paraId="50FB3359" w14:textId="77777777" w:rsidR="007B1379" w:rsidRPr="007B1379" w:rsidRDefault="007B1379" w:rsidP="007B1379">
      <w:pP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 xml:space="preserve">        Zapis § 7 ust. 7 niniejszej umowy stosuje się odpowiednio.</w:t>
      </w:r>
    </w:p>
    <w:p w14:paraId="4FEDCC00" w14:textId="77777777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 xml:space="preserve">W związku z dokonaniem waloryzacji wynagrodzenia Wykonawcy, zabezpieczenie należytego wykonania umowy nie ulegnie zmianie. </w:t>
      </w:r>
    </w:p>
    <w:p w14:paraId="70B800B3" w14:textId="3E8B309F" w:rsidR="007B1379" w:rsidRPr="007B1379" w:rsidRDefault="007B1379" w:rsidP="007B1379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cumin Pro" w:hAnsi="Acumin Pro"/>
          <w:bCs/>
          <w:color w:val="000000" w:themeColor="text1"/>
          <w:sz w:val="20"/>
          <w:szCs w:val="20"/>
          <w:lang w:val="pl-PL"/>
        </w:rPr>
      </w:pPr>
      <w:r w:rsidRPr="007B1379"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Zamawiający może odstąpić od umowy w zakresie niezrealizowanej części zamówienia w przypadku braku wystarczających środków finansowych przeznaczonych na realizację przedmiotu umowy</w:t>
      </w:r>
      <w:r>
        <w:rPr>
          <w:rFonts w:ascii="Acumin Pro" w:hAnsi="Acumin Pro"/>
          <w:bCs/>
          <w:color w:val="000000" w:themeColor="text1"/>
          <w:sz w:val="20"/>
          <w:szCs w:val="20"/>
          <w:lang w:val="pl-PL"/>
        </w:rPr>
        <w:t>”.</w:t>
      </w:r>
    </w:p>
    <w:p w14:paraId="2C242925" w14:textId="77777777" w:rsidR="007B1379" w:rsidRPr="007B1379" w:rsidRDefault="007B1379" w:rsidP="00E23AEE">
      <w:pPr>
        <w:spacing w:line="360" w:lineRule="auto"/>
        <w:jc w:val="both"/>
        <w:rPr>
          <w:rFonts w:ascii="Acumin Pro" w:hAnsi="Acumin Pro"/>
          <w:bCs/>
          <w:sz w:val="20"/>
          <w:szCs w:val="20"/>
          <w:lang w:val="pl-PL"/>
        </w:rPr>
      </w:pPr>
    </w:p>
    <w:p w14:paraId="528B9B3A" w14:textId="2612B5EC" w:rsidR="008D2E7E" w:rsidRDefault="008B6C89" w:rsidP="008B6C89">
      <w:pPr>
        <w:spacing w:line="360" w:lineRule="auto"/>
        <w:ind w:left="504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 xml:space="preserve">  (-) Tomasz Łęcki</w:t>
      </w:r>
    </w:p>
    <w:p w14:paraId="603B75C1" w14:textId="59377638" w:rsidR="008B6C89" w:rsidRPr="00E23AEE" w:rsidRDefault="008B6C89" w:rsidP="008B6C89">
      <w:pPr>
        <w:spacing w:line="360" w:lineRule="auto"/>
        <w:ind w:left="3600" w:firstLine="720"/>
        <w:jc w:val="both"/>
        <w:rPr>
          <w:rFonts w:ascii="Acumin Pro" w:hAnsi="Acumin Pro"/>
          <w:sz w:val="20"/>
          <w:szCs w:val="20"/>
          <w:lang w:val="pl-PL"/>
        </w:rPr>
      </w:pPr>
      <w:r>
        <w:rPr>
          <w:rFonts w:ascii="Acumin Pro" w:hAnsi="Acumin Pro"/>
          <w:sz w:val="20"/>
          <w:szCs w:val="20"/>
          <w:lang w:val="pl-PL"/>
        </w:rPr>
        <w:t>Dyrektor Muzeum Narodowego w Poznaniu</w:t>
      </w:r>
    </w:p>
    <w:sectPr w:rsidR="008B6C89" w:rsidRPr="00E23AEE" w:rsidSect="00893204">
      <w:footerReference w:type="default" r:id="rId8"/>
      <w:headerReference w:type="first" r:id="rId9"/>
      <w:footerReference w:type="first" r:id="rId10"/>
      <w:pgSz w:w="11906" w:h="16838"/>
      <w:pgMar w:top="851" w:right="1134" w:bottom="851" w:left="2381" w:header="851" w:footer="1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851A" w14:textId="77777777" w:rsidR="006A7EFA" w:rsidRDefault="006A7EFA">
      <w:r>
        <w:separator/>
      </w:r>
    </w:p>
  </w:endnote>
  <w:endnote w:type="continuationSeparator" w:id="0">
    <w:p w14:paraId="0CE41BE9" w14:textId="77777777" w:rsidR="006A7EFA" w:rsidRDefault="006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altName w:val="Arial"/>
    <w:panose1 w:val="020B0504020202020204"/>
    <w:charset w:val="EE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cumi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36E" w14:textId="77777777" w:rsidR="00C72E33" w:rsidRPr="003A6470" w:rsidRDefault="00514881" w:rsidP="003A6470">
    <w:pPr>
      <w:pStyle w:val="Nagwekistopka"/>
      <w:tabs>
        <w:tab w:val="clear" w:pos="9020"/>
        <w:tab w:val="center" w:pos="4961"/>
        <w:tab w:val="right" w:pos="9921"/>
      </w:tabs>
      <w:ind w:left="-1361"/>
      <w:rPr>
        <w:rFonts w:hint="eastAsia"/>
      </w:rPr>
    </w:pPr>
    <w:r>
      <w:rPr>
        <w:rFonts w:ascii="Acumin Pro Semibold" w:hAnsi="Acumin Pro Semibold"/>
        <w:sz w:val="16"/>
        <w:szCs w:val="16"/>
      </w:rPr>
      <w:t xml:space="preserve">                  </w:t>
    </w:r>
    <w:r>
      <w:rPr>
        <w:rFonts w:ascii="Acumin Pro" w:hAnsi="Acumin Pro"/>
      </w:rPr>
      <w:t xml:space="preserve">            </w:t>
    </w:r>
    <w:r>
      <w:rPr>
        <w:rFonts w:ascii="Acumin Pro Semibold" w:eastAsia="Acumin Pro Semibold" w:hAnsi="Acumin Pro Semibold" w:cs="Acumin Pro Semibold"/>
        <w:sz w:val="16"/>
        <w:szCs w:val="16"/>
      </w:rPr>
      <w:tab/>
    </w:r>
    <w: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07B" w14:textId="77777777" w:rsidR="00893204" w:rsidRDefault="008B6C89">
    <w:pPr>
      <w:pStyle w:val="Stopka"/>
    </w:pPr>
    <w:r>
      <w:rPr>
        <w:noProof/>
      </w:rPr>
      <w:pict w14:anchorId="28EE0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68.05pt;margin-top:778.2pt;width:487.7pt;height:28.15pt;z-index:251661312;mso-position-horizontal:absolute;mso-position-horizontal-relative:text;mso-position-vertical:absolute;mso-position-vertical-relative:page">
          <v:imagedata r:id="rId1" o:title="Stopka - MNP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022A" w14:textId="77777777" w:rsidR="006A7EFA" w:rsidRDefault="006A7EFA">
      <w:r>
        <w:separator/>
      </w:r>
    </w:p>
  </w:footnote>
  <w:footnote w:type="continuationSeparator" w:id="0">
    <w:p w14:paraId="452978BE" w14:textId="77777777" w:rsidR="006A7EFA" w:rsidRDefault="006A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89BA" w14:textId="77777777" w:rsidR="00893204" w:rsidRDefault="00893204" w:rsidP="00893204">
    <w:pPr>
      <w:pStyle w:val="Nagwek"/>
      <w:ind w:left="-1361"/>
    </w:pPr>
    <w:r>
      <w:rPr>
        <w:noProof/>
        <w:lang w:val="pl-PL" w:eastAsia="pl-PL"/>
      </w:rPr>
      <w:drawing>
        <wp:inline distT="0" distB="0" distL="0" distR="0" wp14:anchorId="224B4595" wp14:editId="3CB939E0">
          <wp:extent cx="1804670" cy="453390"/>
          <wp:effectExtent l="0" t="0" r="5080" b="3810"/>
          <wp:docPr id="1" name="Obraz 1" descr="Listownik - M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 - MN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D79856" w14:textId="77777777" w:rsidR="00893204" w:rsidRPr="00893204" w:rsidRDefault="00893204" w:rsidP="00893204">
    <w:pPr>
      <w:pStyle w:val="Nagwek"/>
      <w:ind w:left="-1361"/>
      <w:rPr>
        <w:rFonts w:ascii="Acumin Pro" w:hAnsi="Acumin 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0670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638D0"/>
    <w:multiLevelType w:val="hybridMultilevel"/>
    <w:tmpl w:val="61C06054"/>
    <w:lvl w:ilvl="0" w:tplc="12FE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55B37"/>
    <w:multiLevelType w:val="hybridMultilevel"/>
    <w:tmpl w:val="47A04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12480"/>
    <w:multiLevelType w:val="hybridMultilevel"/>
    <w:tmpl w:val="D304E03C"/>
    <w:lvl w:ilvl="0" w:tplc="3DFC3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C381D"/>
    <w:multiLevelType w:val="hybridMultilevel"/>
    <w:tmpl w:val="E694595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D444C4A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461D79"/>
    <w:multiLevelType w:val="hybridMultilevel"/>
    <w:tmpl w:val="DDD02642"/>
    <w:lvl w:ilvl="0" w:tplc="400A39E4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4714F"/>
    <w:multiLevelType w:val="hybridMultilevel"/>
    <w:tmpl w:val="12C8E510"/>
    <w:lvl w:ilvl="0" w:tplc="2D686D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996DDE"/>
    <w:multiLevelType w:val="hybridMultilevel"/>
    <w:tmpl w:val="980E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543"/>
    <w:multiLevelType w:val="hybridMultilevel"/>
    <w:tmpl w:val="B9E88F12"/>
    <w:lvl w:ilvl="0" w:tplc="176E3F18">
      <w:start w:val="1"/>
      <w:numFmt w:val="decimal"/>
      <w:lvlText w:val="%1."/>
      <w:lvlJc w:val="left"/>
      <w:pPr>
        <w:ind w:left="720" w:hanging="360"/>
      </w:pPr>
      <w:rPr>
        <w:rFonts w:ascii="Acumin Pro" w:hAnsi="Acumin Pro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3139D"/>
    <w:multiLevelType w:val="hybridMultilevel"/>
    <w:tmpl w:val="5B402A0C"/>
    <w:lvl w:ilvl="0" w:tplc="4EF0CB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1A307E"/>
    <w:multiLevelType w:val="hybridMultilevel"/>
    <w:tmpl w:val="2638A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D76FA6"/>
    <w:multiLevelType w:val="hybridMultilevel"/>
    <w:tmpl w:val="F3686EA0"/>
    <w:lvl w:ilvl="0" w:tplc="63D68E1E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2300666B"/>
    <w:multiLevelType w:val="hybridMultilevel"/>
    <w:tmpl w:val="CD908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B5B"/>
    <w:multiLevelType w:val="hybridMultilevel"/>
    <w:tmpl w:val="D3EA4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271A"/>
    <w:multiLevelType w:val="hybridMultilevel"/>
    <w:tmpl w:val="88F6C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8C5777"/>
    <w:multiLevelType w:val="hybridMultilevel"/>
    <w:tmpl w:val="889EB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3D9"/>
    <w:multiLevelType w:val="hybridMultilevel"/>
    <w:tmpl w:val="54D6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31151"/>
    <w:multiLevelType w:val="hybridMultilevel"/>
    <w:tmpl w:val="E8B4E13A"/>
    <w:lvl w:ilvl="0" w:tplc="862A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55032"/>
    <w:multiLevelType w:val="hybridMultilevel"/>
    <w:tmpl w:val="B2FC124A"/>
    <w:lvl w:ilvl="0" w:tplc="63D68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" w:hanging="360"/>
      </w:pPr>
    </w:lvl>
    <w:lvl w:ilvl="2" w:tplc="0415001B" w:tentative="1">
      <w:start w:val="1"/>
      <w:numFmt w:val="lowerRoman"/>
      <w:lvlText w:val="%3."/>
      <w:lvlJc w:val="right"/>
      <w:pPr>
        <w:ind w:left="1102" w:hanging="180"/>
      </w:pPr>
    </w:lvl>
    <w:lvl w:ilvl="3" w:tplc="0415000F" w:tentative="1">
      <w:start w:val="1"/>
      <w:numFmt w:val="decimal"/>
      <w:lvlText w:val="%4."/>
      <w:lvlJc w:val="left"/>
      <w:pPr>
        <w:ind w:left="1822" w:hanging="360"/>
      </w:pPr>
    </w:lvl>
    <w:lvl w:ilvl="4" w:tplc="04150019" w:tentative="1">
      <w:start w:val="1"/>
      <w:numFmt w:val="lowerLetter"/>
      <w:lvlText w:val="%5."/>
      <w:lvlJc w:val="left"/>
      <w:pPr>
        <w:ind w:left="2542" w:hanging="360"/>
      </w:pPr>
    </w:lvl>
    <w:lvl w:ilvl="5" w:tplc="0415001B" w:tentative="1">
      <w:start w:val="1"/>
      <w:numFmt w:val="lowerRoman"/>
      <w:lvlText w:val="%6."/>
      <w:lvlJc w:val="right"/>
      <w:pPr>
        <w:ind w:left="3262" w:hanging="180"/>
      </w:pPr>
    </w:lvl>
    <w:lvl w:ilvl="6" w:tplc="0415000F" w:tentative="1">
      <w:start w:val="1"/>
      <w:numFmt w:val="decimal"/>
      <w:lvlText w:val="%7."/>
      <w:lvlJc w:val="left"/>
      <w:pPr>
        <w:ind w:left="3982" w:hanging="360"/>
      </w:pPr>
    </w:lvl>
    <w:lvl w:ilvl="7" w:tplc="04150019" w:tentative="1">
      <w:start w:val="1"/>
      <w:numFmt w:val="lowerLetter"/>
      <w:lvlText w:val="%8."/>
      <w:lvlJc w:val="left"/>
      <w:pPr>
        <w:ind w:left="4702" w:hanging="360"/>
      </w:pPr>
    </w:lvl>
    <w:lvl w:ilvl="8" w:tplc="0415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9" w15:restartNumberingAfterBreak="0">
    <w:nsid w:val="62C91171"/>
    <w:multiLevelType w:val="hybridMultilevel"/>
    <w:tmpl w:val="93604FB2"/>
    <w:lvl w:ilvl="0" w:tplc="D1C4D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F62D1F"/>
    <w:multiLevelType w:val="hybridMultilevel"/>
    <w:tmpl w:val="4DE4B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3B34"/>
    <w:multiLevelType w:val="hybridMultilevel"/>
    <w:tmpl w:val="DAF46458"/>
    <w:lvl w:ilvl="0" w:tplc="D0D293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F5CDB"/>
    <w:multiLevelType w:val="hybridMultilevel"/>
    <w:tmpl w:val="BFA003DC"/>
    <w:lvl w:ilvl="0" w:tplc="83640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77B8"/>
    <w:multiLevelType w:val="hybridMultilevel"/>
    <w:tmpl w:val="4D9476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FE035F"/>
    <w:multiLevelType w:val="hybridMultilevel"/>
    <w:tmpl w:val="031E18AE"/>
    <w:lvl w:ilvl="0" w:tplc="0C2AE500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676A71"/>
    <w:multiLevelType w:val="hybridMultilevel"/>
    <w:tmpl w:val="79E237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"/>
  </w:num>
  <w:num w:numId="6">
    <w:abstractNumId w:val="18"/>
  </w:num>
  <w:num w:numId="7">
    <w:abstractNumId w:val="2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25"/>
  </w:num>
  <w:num w:numId="17">
    <w:abstractNumId w:val="1"/>
  </w:num>
  <w:num w:numId="18">
    <w:abstractNumId w:val="7"/>
  </w:num>
  <w:num w:numId="19">
    <w:abstractNumId w:val="8"/>
  </w:num>
  <w:num w:numId="20">
    <w:abstractNumId w:val="10"/>
  </w:num>
  <w:num w:numId="21">
    <w:abstractNumId w:val="23"/>
  </w:num>
  <w:num w:numId="22">
    <w:abstractNumId w:val="12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E33"/>
    <w:rsid w:val="00002F1D"/>
    <w:rsid w:val="0001061C"/>
    <w:rsid w:val="00016203"/>
    <w:rsid w:val="00034959"/>
    <w:rsid w:val="000D643F"/>
    <w:rsid w:val="000E6F99"/>
    <w:rsid w:val="001704E2"/>
    <w:rsid w:val="001D157E"/>
    <w:rsid w:val="001D45B0"/>
    <w:rsid w:val="001E1E9D"/>
    <w:rsid w:val="001F3F04"/>
    <w:rsid w:val="002107C0"/>
    <w:rsid w:val="0025789A"/>
    <w:rsid w:val="00291E43"/>
    <w:rsid w:val="00320225"/>
    <w:rsid w:val="0032538C"/>
    <w:rsid w:val="00325C37"/>
    <w:rsid w:val="00333594"/>
    <w:rsid w:val="00354309"/>
    <w:rsid w:val="003A6470"/>
    <w:rsid w:val="003E1662"/>
    <w:rsid w:val="003E76E2"/>
    <w:rsid w:val="00455EF1"/>
    <w:rsid w:val="00467AC4"/>
    <w:rsid w:val="00477267"/>
    <w:rsid w:val="0048277A"/>
    <w:rsid w:val="00492242"/>
    <w:rsid w:val="004B1F28"/>
    <w:rsid w:val="004F75FC"/>
    <w:rsid w:val="00506A4B"/>
    <w:rsid w:val="00514881"/>
    <w:rsid w:val="0052002A"/>
    <w:rsid w:val="00527BCD"/>
    <w:rsid w:val="00532090"/>
    <w:rsid w:val="00536B70"/>
    <w:rsid w:val="00545297"/>
    <w:rsid w:val="0057622D"/>
    <w:rsid w:val="005905CD"/>
    <w:rsid w:val="005B74A0"/>
    <w:rsid w:val="005C017C"/>
    <w:rsid w:val="005D657A"/>
    <w:rsid w:val="0061462B"/>
    <w:rsid w:val="00634973"/>
    <w:rsid w:val="00667307"/>
    <w:rsid w:val="006A7EFA"/>
    <w:rsid w:val="006B1D5A"/>
    <w:rsid w:val="006B3105"/>
    <w:rsid w:val="006D1838"/>
    <w:rsid w:val="007B1379"/>
    <w:rsid w:val="007E23C5"/>
    <w:rsid w:val="007F5AC4"/>
    <w:rsid w:val="007F6AC1"/>
    <w:rsid w:val="00893204"/>
    <w:rsid w:val="008A42B8"/>
    <w:rsid w:val="008A4D87"/>
    <w:rsid w:val="008B0F91"/>
    <w:rsid w:val="008B6C89"/>
    <w:rsid w:val="008D2D12"/>
    <w:rsid w:val="008D2E7E"/>
    <w:rsid w:val="008F2C2C"/>
    <w:rsid w:val="00911FCE"/>
    <w:rsid w:val="00967D1F"/>
    <w:rsid w:val="0097077B"/>
    <w:rsid w:val="00983CBC"/>
    <w:rsid w:val="00A26260"/>
    <w:rsid w:val="00A52FFC"/>
    <w:rsid w:val="00A7183E"/>
    <w:rsid w:val="00A77C93"/>
    <w:rsid w:val="00A86A3A"/>
    <w:rsid w:val="00B128E7"/>
    <w:rsid w:val="00B24F28"/>
    <w:rsid w:val="00B64EC9"/>
    <w:rsid w:val="00B72EB1"/>
    <w:rsid w:val="00B76FB5"/>
    <w:rsid w:val="00B833B7"/>
    <w:rsid w:val="00B97175"/>
    <w:rsid w:val="00BA1341"/>
    <w:rsid w:val="00BA74AC"/>
    <w:rsid w:val="00BC4631"/>
    <w:rsid w:val="00BE2E06"/>
    <w:rsid w:val="00C16BF4"/>
    <w:rsid w:val="00C24790"/>
    <w:rsid w:val="00C72E33"/>
    <w:rsid w:val="00CC4A7D"/>
    <w:rsid w:val="00CD6CE8"/>
    <w:rsid w:val="00CF1D99"/>
    <w:rsid w:val="00CF6669"/>
    <w:rsid w:val="00CF711D"/>
    <w:rsid w:val="00D20C7F"/>
    <w:rsid w:val="00D3645A"/>
    <w:rsid w:val="00D64F2C"/>
    <w:rsid w:val="00D779BE"/>
    <w:rsid w:val="00D948F9"/>
    <w:rsid w:val="00DA31E3"/>
    <w:rsid w:val="00DA6978"/>
    <w:rsid w:val="00DB3525"/>
    <w:rsid w:val="00DD3108"/>
    <w:rsid w:val="00DF57A3"/>
    <w:rsid w:val="00E062E2"/>
    <w:rsid w:val="00E2301B"/>
    <w:rsid w:val="00E23AEE"/>
    <w:rsid w:val="00E86157"/>
    <w:rsid w:val="00EA287A"/>
    <w:rsid w:val="00EC57EB"/>
    <w:rsid w:val="00EC7BC8"/>
    <w:rsid w:val="00EE2856"/>
    <w:rsid w:val="00F10993"/>
    <w:rsid w:val="00FA3EC2"/>
    <w:rsid w:val="00FB441A"/>
    <w:rsid w:val="00FB55B8"/>
    <w:rsid w:val="00F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7F9AF6"/>
  <w15:docId w15:val="{2605BA81-BA25-4E46-9497-40EA7F85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EC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64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EC9"/>
    <w:rPr>
      <w:sz w:val="24"/>
      <w:szCs w:val="24"/>
      <w:lang w:val="en-US" w:eastAsia="en-US"/>
    </w:rPr>
  </w:style>
  <w:style w:type="paragraph" w:styleId="Listapunktowana">
    <w:name w:val="List Bullet"/>
    <w:basedOn w:val="Normalny"/>
    <w:uiPriority w:val="99"/>
    <w:unhideWhenUsed/>
    <w:rsid w:val="00911FCE"/>
    <w:pPr>
      <w:numPr>
        <w:numId w:val="1"/>
      </w:numPr>
      <w:contextualSpacing/>
    </w:pPr>
  </w:style>
  <w:style w:type="paragraph" w:customStyle="1" w:styleId="MNPAdresat">
    <w:name w:val="MNP Adresat"/>
    <w:rsid w:val="00B24F28"/>
    <w:pPr>
      <w:ind w:left="4139"/>
    </w:pPr>
    <w:rPr>
      <w:rFonts w:ascii="Acumin Pro" w:eastAsia="Helvetica Neue" w:hAnsi="Acumin Pro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MNPTre">
    <w:name w:val="MNP Treść"/>
    <w:rsid w:val="001704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</w:tabs>
      <w:spacing w:after="300" w:line="360" w:lineRule="auto"/>
      <w:jc w:val="both"/>
    </w:pPr>
    <w:rPr>
      <w:rFonts w:ascii="Acumin Pro" w:hAnsi="Acumin Pro" w:cs="Arial Unicode MS"/>
      <w:color w:val="000000"/>
      <w:shd w:val="clear" w:color="auto" w:fill="FFFFFF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MNPPodpis">
    <w:name w:val="MNP Podpis"/>
    <w:rsid w:val="00DF57A3"/>
    <w:pPr>
      <w:spacing w:line="360" w:lineRule="auto"/>
      <w:ind w:left="5245"/>
      <w:jc w:val="center"/>
    </w:pPr>
    <w:rPr>
      <w:rFonts w:ascii="Acumin Pro" w:hAnsi="Acumin Pro" w:cs="Arial Unicode MS"/>
      <w:color w:val="000000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F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F2C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441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6A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F6AC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8D2D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D3645A"/>
    <w:rPr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4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45A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5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5A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23AEE"/>
    <w:rPr>
      <w:rFonts w:ascii="Segoe UI" w:eastAsia="Segoe UI" w:hAnsi="Segoe UI" w:cs="Segoe U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3A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6" w:lineRule="auto"/>
    </w:pPr>
    <w:rPr>
      <w:rFonts w:ascii="Segoe UI" w:eastAsia="Segoe UI" w:hAnsi="Segoe UI" w:cs="Segoe UI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CE35-D691-455E-B375-8866108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KurkiewiczA</cp:lastModifiedBy>
  <cp:revision>7</cp:revision>
  <cp:lastPrinted>2023-02-06T13:58:00Z</cp:lastPrinted>
  <dcterms:created xsi:type="dcterms:W3CDTF">2023-02-07T08:11:00Z</dcterms:created>
  <dcterms:modified xsi:type="dcterms:W3CDTF">2023-02-14T14:35:00Z</dcterms:modified>
</cp:coreProperties>
</file>