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692D" w14:textId="32BF2A78" w:rsidR="00BD09DC" w:rsidRPr="00BD09DC" w:rsidRDefault="00BD09DC" w:rsidP="00BD09DC">
      <w:pPr>
        <w:pStyle w:val="Nagwek1"/>
        <w:jc w:val="right"/>
        <w:rPr>
          <w:color w:val="auto"/>
        </w:rPr>
      </w:pPr>
      <w:r w:rsidRPr="00BD09DC">
        <w:rPr>
          <w:color w:val="auto"/>
        </w:rPr>
        <w:t>Załącznik nr 3</w:t>
      </w:r>
    </w:p>
    <w:p w14:paraId="19164591" w14:textId="0F0D7B49" w:rsidR="00003F5B" w:rsidRDefault="00003F5B" w:rsidP="00003F5B">
      <w:pPr>
        <w:pStyle w:val="Nagwek1"/>
      </w:pPr>
      <w:r>
        <w:t>Wymagania techniczne dla systemu cyfrowej radiografii</w:t>
      </w:r>
    </w:p>
    <w:p w14:paraId="331CE8B6" w14:textId="77185AFE" w:rsidR="00003F5B" w:rsidRDefault="00003F5B" w:rsidP="00003F5B"/>
    <w:p w14:paraId="7C67AA0C" w14:textId="4A1D3F68" w:rsidR="00003F5B" w:rsidRPr="00003F5B" w:rsidRDefault="00003F5B" w:rsidP="00003F5B">
      <w:pPr>
        <w:rPr>
          <w:rStyle w:val="Pogrubienie"/>
        </w:rPr>
      </w:pPr>
      <w:r w:rsidRPr="00003F5B">
        <w:rPr>
          <w:rStyle w:val="Pogrubienie"/>
        </w:rPr>
        <w:t>Wymagania co do architektury</w:t>
      </w:r>
      <w:r w:rsidR="007715C0">
        <w:rPr>
          <w:rStyle w:val="Pogrubienie"/>
        </w:rPr>
        <w:t xml:space="preserve"> </w:t>
      </w:r>
      <w:r w:rsidRPr="00003F5B">
        <w:rPr>
          <w:rStyle w:val="Pogrubienie"/>
        </w:rPr>
        <w:t>systemu</w:t>
      </w:r>
    </w:p>
    <w:p w14:paraId="12003438" w14:textId="7A18F77F" w:rsidR="00C339B3" w:rsidRDefault="00A239C4" w:rsidP="00C339B3">
      <w:pPr>
        <w:pStyle w:val="Akapitzlist"/>
        <w:numPr>
          <w:ilvl w:val="0"/>
          <w:numId w:val="1"/>
        </w:numPr>
      </w:pPr>
      <w:r>
        <w:t>O</w:t>
      </w:r>
      <w:r w:rsidR="00C339B3">
        <w:t>ferent musi przedstawić propozycję zapewnienia ciągło</w:t>
      </w:r>
      <w:r w:rsidR="00E97FC5">
        <w:t xml:space="preserve">ści działania poprzez dostęp do </w:t>
      </w:r>
      <w:r w:rsidR="00C339B3">
        <w:t>systemu zapasowego ze wszystkimi danymi z systemu produkcyjnego – wymagany schemat rozwiązania</w:t>
      </w:r>
      <w:r w:rsidR="00972FD6" w:rsidRPr="00972FD6">
        <w:t xml:space="preserve"> </w:t>
      </w:r>
      <w:r w:rsidR="00972FD6">
        <w:t>wraz z propozycją dostarczenia niezbędnych urządzeń</w:t>
      </w:r>
      <w:r w:rsidR="00C339B3">
        <w:t>.</w:t>
      </w:r>
    </w:p>
    <w:p w14:paraId="2CE01585" w14:textId="6912DFC5" w:rsidR="00C339B3" w:rsidRDefault="00C339B3" w:rsidP="00C339B3">
      <w:pPr>
        <w:pStyle w:val="Akapitzlist"/>
        <w:numPr>
          <w:ilvl w:val="0"/>
          <w:numId w:val="1"/>
        </w:numPr>
      </w:pPr>
      <w:r>
        <w:t>Oferent musi przedstawić propozycję zabezpieczenia danych obrazowych w co najmniej dwóch niezależnych lokalizacjach</w:t>
      </w:r>
      <w:r w:rsidR="002D3CDA">
        <w:t>, w tym jedną w środowisku lokalnym</w:t>
      </w:r>
      <w:r>
        <w:t xml:space="preserve"> </w:t>
      </w:r>
      <w:r w:rsidR="00A239C4">
        <w:t xml:space="preserve">i jedną w chmurze </w:t>
      </w:r>
      <w:r>
        <w:t xml:space="preserve">– wymagany schemat rozwiązania wraz z propozycją </w:t>
      </w:r>
      <w:r w:rsidR="00972FD6">
        <w:t xml:space="preserve">dostarczenia </w:t>
      </w:r>
      <w:r>
        <w:t>niezbędnych urządzeń.</w:t>
      </w:r>
      <w:r w:rsidR="00862E88">
        <w:t xml:space="preserve"> W </w:t>
      </w:r>
      <w:r w:rsidR="00CD741E">
        <w:t>obu lokalizacjach muszą być przechowywane wszystkie dane obrazowe.</w:t>
      </w:r>
    </w:p>
    <w:p w14:paraId="4CEA8A6B" w14:textId="137B826F" w:rsidR="003A0BCA" w:rsidRDefault="00A239C4" w:rsidP="00C339B3">
      <w:pPr>
        <w:pStyle w:val="Akapitzlist"/>
        <w:numPr>
          <w:ilvl w:val="0"/>
          <w:numId w:val="1"/>
        </w:numPr>
      </w:pPr>
      <w:r>
        <w:t>I</w:t>
      </w:r>
      <w:r w:rsidR="003A0BCA">
        <w:t>nfrastruktura, na której będą przechowywane dane</w:t>
      </w:r>
      <w:r w:rsidRPr="00A239C4">
        <w:t xml:space="preserve"> </w:t>
      </w:r>
      <w:r>
        <w:t>w chmurze</w:t>
      </w:r>
      <w:r w:rsidR="003A0BCA">
        <w:t>, musi znajdować się w</w:t>
      </w:r>
      <w:r>
        <w:t> </w:t>
      </w:r>
      <w:r w:rsidR="003A0BCA">
        <w:t>Europejskim Obszarze Gospodarczym.</w:t>
      </w:r>
    </w:p>
    <w:p w14:paraId="2AA12F41" w14:textId="0FF571C3" w:rsidR="00C339B3" w:rsidRDefault="00C339B3" w:rsidP="00C339B3">
      <w:pPr>
        <w:pStyle w:val="Akapitzlist"/>
        <w:numPr>
          <w:ilvl w:val="0"/>
          <w:numId w:val="1"/>
        </w:numPr>
      </w:pPr>
      <w:r>
        <w:t xml:space="preserve">W przypadku wdrażania dostępu chmurowego wymagane jest </w:t>
      </w:r>
      <w:r w:rsidR="00F90258">
        <w:t>przedstawienie minimalnych parametrów łącza internetowego,</w:t>
      </w:r>
      <w:r>
        <w:t xml:space="preserve"> dedykowanego do celów diagnostyki obrazowej</w:t>
      </w:r>
      <w:r w:rsidR="00F90258">
        <w:t>,</w:t>
      </w:r>
      <w:r>
        <w:t xml:space="preserve"> odpowiedniego do ilości przesyłanyc</w:t>
      </w:r>
      <w:r w:rsidR="00F90258">
        <w:t>h danych.</w:t>
      </w:r>
    </w:p>
    <w:p w14:paraId="0AAFF716" w14:textId="5B63D9AA" w:rsidR="0013558D" w:rsidRPr="0013558D" w:rsidRDefault="002D3CDA" w:rsidP="0013558D">
      <w:pPr>
        <w:pStyle w:val="Akapitzlist"/>
        <w:numPr>
          <w:ilvl w:val="0"/>
          <w:numId w:val="1"/>
        </w:numPr>
        <w:rPr>
          <w:rFonts w:cstheme="minorHAnsi"/>
        </w:rPr>
      </w:pPr>
      <w:r w:rsidRPr="0013558D">
        <w:t>Oferent musi zapewnić infrastrukturę sprzętową dla systemu w środowisku lokalnym, spełniającą minimalnie wymagania</w:t>
      </w:r>
      <w:r w:rsidR="0013558D" w:rsidRPr="0013558D">
        <w:t xml:space="preserve"> opisane w dokumencie: „Platforma sprzętowa.docx”.</w:t>
      </w:r>
    </w:p>
    <w:p w14:paraId="551D41BE" w14:textId="0F996478" w:rsidR="006C3874" w:rsidRDefault="006C3874" w:rsidP="0013558D">
      <w:pPr>
        <w:pStyle w:val="Akapitzlist"/>
        <w:numPr>
          <w:ilvl w:val="0"/>
          <w:numId w:val="1"/>
        </w:numPr>
        <w:rPr>
          <w:rFonts w:cstheme="minorHAnsi"/>
        </w:rPr>
      </w:pPr>
      <w:r w:rsidRPr="00F42F7F">
        <w:rPr>
          <w:rFonts w:cstheme="minorHAnsi"/>
        </w:rPr>
        <w:t>Oferent musi zapewnić usługi serwisow</w:t>
      </w:r>
      <w:r w:rsidR="00F42F7F">
        <w:rPr>
          <w:rFonts w:cstheme="minorHAnsi"/>
        </w:rPr>
        <w:t>e</w:t>
      </w:r>
      <w:r w:rsidRPr="00F42F7F">
        <w:rPr>
          <w:rFonts w:cstheme="minorHAnsi"/>
        </w:rPr>
        <w:t xml:space="preserve"> autoryzowanego serwisu producenta serwerów i macierzy na okres trwania umowy w t</w:t>
      </w:r>
      <w:r w:rsidR="00CD741E">
        <w:rPr>
          <w:rFonts w:cstheme="minorHAnsi"/>
        </w:rPr>
        <w:t>rybie 24/7.</w:t>
      </w:r>
      <w:r w:rsidR="00F42F7F" w:rsidRPr="00F42F7F">
        <w:rPr>
          <w:rFonts w:cstheme="minorHAnsi"/>
        </w:rPr>
        <w:t xml:space="preserve"> </w:t>
      </w:r>
      <w:r w:rsidRPr="00F42F7F">
        <w:rPr>
          <w:rFonts w:cstheme="minorHAnsi"/>
        </w:rPr>
        <w:t>Zamawiający nie prz</w:t>
      </w:r>
      <w:r w:rsidR="00F42F7F" w:rsidRPr="00F42F7F">
        <w:rPr>
          <w:rFonts w:cstheme="minorHAnsi"/>
        </w:rPr>
        <w:t>ekazuje do zwrotu uszkodzonych dysków z macierzy.</w:t>
      </w:r>
    </w:p>
    <w:p w14:paraId="264F2BB7" w14:textId="2877F1A2" w:rsidR="003A0BCA" w:rsidRPr="00F42F7F" w:rsidRDefault="003A0BCA" w:rsidP="001118F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Wszystkie oferowane urządzenia </w:t>
      </w:r>
      <w:r w:rsidR="00CD741E">
        <w:rPr>
          <w:rFonts w:cstheme="minorHAnsi"/>
        </w:rPr>
        <w:t xml:space="preserve">(serwery, macierze) </w:t>
      </w:r>
      <w:r>
        <w:rPr>
          <w:rFonts w:cstheme="minorHAnsi"/>
        </w:rPr>
        <w:t>muszą być wyprodukowane w 2024 r.</w:t>
      </w:r>
    </w:p>
    <w:p w14:paraId="4E6C3208" w14:textId="7DD49FFE" w:rsidR="007B6A33" w:rsidRDefault="007B6A33" w:rsidP="007B6A33">
      <w:pPr>
        <w:pStyle w:val="Akapitzlist"/>
        <w:numPr>
          <w:ilvl w:val="0"/>
          <w:numId w:val="1"/>
        </w:numPr>
        <w:rPr>
          <w:rFonts w:cstheme="minorHAnsi"/>
        </w:rPr>
      </w:pPr>
      <w:r w:rsidRPr="007B6A33">
        <w:rPr>
          <w:rFonts w:cstheme="minorHAnsi"/>
        </w:rPr>
        <w:t>System musi zapewniać niezmienioną wydajność w okresie 5 lat od zakupu co najmniej dla prognozowej liczby badań.</w:t>
      </w:r>
    </w:p>
    <w:p w14:paraId="77A4242D" w14:textId="1067B408" w:rsidR="007715C0" w:rsidRPr="000B426E" w:rsidRDefault="007715C0" w:rsidP="007715C0">
      <w:pPr>
        <w:pStyle w:val="Akapitzlist"/>
        <w:numPr>
          <w:ilvl w:val="0"/>
          <w:numId w:val="1"/>
        </w:numPr>
        <w:rPr>
          <w:rFonts w:cstheme="minorHAnsi"/>
        </w:rPr>
      </w:pPr>
      <w:r w:rsidRPr="007715C0">
        <w:rPr>
          <w:rFonts w:cstheme="minorHAnsi"/>
        </w:rPr>
        <w:t xml:space="preserve">Oferent musi zapewnić </w:t>
      </w:r>
      <w:r w:rsidRPr="007715C0">
        <w:rPr>
          <w:rFonts w:cstheme="minorHAnsi"/>
          <w:bCs/>
          <w:color w:val="000000"/>
        </w:rPr>
        <w:t>aktualizacje oprogramowania do najnowszej istniejącej wersji w całym czasie trwania umowy serwisowej.</w:t>
      </w:r>
    </w:p>
    <w:p w14:paraId="75724DC0" w14:textId="18BF3A5A" w:rsidR="000B426E" w:rsidRPr="007715C0" w:rsidRDefault="000B426E" w:rsidP="007715C0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Cs/>
          <w:color w:val="000000"/>
        </w:rPr>
        <w:t xml:space="preserve">Oferent musi dostarczyć wszystkie niezbędne licencje dla komponentów systemu (systemy operacyjne, </w:t>
      </w:r>
      <w:proofErr w:type="spellStart"/>
      <w:r>
        <w:rPr>
          <w:rFonts w:cstheme="minorHAnsi"/>
          <w:bCs/>
          <w:color w:val="000000"/>
        </w:rPr>
        <w:t>wirtualizacyjne</w:t>
      </w:r>
      <w:proofErr w:type="spellEnd"/>
      <w:r>
        <w:rPr>
          <w:rFonts w:cstheme="minorHAnsi"/>
          <w:bCs/>
          <w:color w:val="000000"/>
        </w:rPr>
        <w:t xml:space="preserve">, bazodanowe) na </w:t>
      </w:r>
      <w:r w:rsidR="00A239C4">
        <w:rPr>
          <w:rFonts w:cstheme="minorHAnsi"/>
          <w:bCs/>
          <w:color w:val="000000"/>
        </w:rPr>
        <w:t>okres subskrypcji</w:t>
      </w:r>
      <w:r>
        <w:rPr>
          <w:rFonts w:cstheme="minorHAnsi"/>
          <w:bCs/>
          <w:color w:val="000000"/>
        </w:rPr>
        <w:t>.</w:t>
      </w:r>
    </w:p>
    <w:p w14:paraId="6335A16D" w14:textId="342EF934" w:rsidR="007715C0" w:rsidRPr="00CD741E" w:rsidRDefault="007715C0" w:rsidP="00486EAA">
      <w:pPr>
        <w:pStyle w:val="Akapitzlist"/>
        <w:numPr>
          <w:ilvl w:val="0"/>
          <w:numId w:val="1"/>
        </w:numPr>
        <w:rPr>
          <w:rFonts w:cstheme="minorHAnsi"/>
        </w:rPr>
      </w:pPr>
      <w:r w:rsidRPr="00CD741E">
        <w:t xml:space="preserve">Oferent musi zapewnić </w:t>
      </w:r>
      <w:r w:rsidR="00CD741E" w:rsidRPr="00CD741E">
        <w:t>system backupowy dla środowiska serwerowego (maszyny wirtualne, bazy danych, aplikacje)</w:t>
      </w:r>
      <w:r w:rsidR="00CD741E">
        <w:t xml:space="preserve"> – nie dotyczy danych obrazowych</w:t>
      </w:r>
      <w:r w:rsidR="00CD741E" w:rsidRPr="00CD741E">
        <w:t>.</w:t>
      </w:r>
    </w:p>
    <w:p w14:paraId="1838FA67" w14:textId="605F5B4D" w:rsidR="007B6A33" w:rsidRDefault="007B6A33" w:rsidP="00C57DCE">
      <w:pPr>
        <w:pStyle w:val="Akapitzlist"/>
        <w:numPr>
          <w:ilvl w:val="0"/>
          <w:numId w:val="1"/>
        </w:numPr>
      </w:pPr>
      <w:r>
        <w:t>Oferent musi zapewnić migrację danych obrazowych oraz opisów z systemu dotychczas posiadanego przez Zamawiającego.</w:t>
      </w:r>
    </w:p>
    <w:p w14:paraId="469ACB3A" w14:textId="428F1806" w:rsidR="00003F5B" w:rsidRPr="006204F4" w:rsidRDefault="00003F5B" w:rsidP="00003F5B">
      <w:pPr>
        <w:pStyle w:val="Akapitzlist"/>
        <w:numPr>
          <w:ilvl w:val="0"/>
          <w:numId w:val="1"/>
        </w:numPr>
      </w:pPr>
      <w:r w:rsidRPr="006204F4">
        <w:t xml:space="preserve">Oferent musi zapewnić możliwość przechowywania danych obrazowych w formacie DICOM w objętości obejmującej obecnie 130TB i przy </w:t>
      </w:r>
      <w:r>
        <w:t>następujących założeniach do skalowania systemu</w:t>
      </w:r>
      <w:r w:rsidR="00A03F39">
        <w:t xml:space="preserve"> na kolejne 5 lat</w:t>
      </w:r>
      <w:r w:rsidRPr="006204F4">
        <w:t xml:space="preserve">: </w:t>
      </w:r>
    </w:p>
    <w:p w14:paraId="53D29FB1" w14:textId="13164F2D" w:rsidR="00003F5B" w:rsidRPr="00003F5B" w:rsidRDefault="00003F5B" w:rsidP="00003F5B">
      <w:pPr>
        <w:pStyle w:val="Nagwek3"/>
        <w:jc w:val="both"/>
        <w:rPr>
          <w:rFonts w:asciiTheme="minorHAnsi" w:hAnsiTheme="minorHAnsi" w:cstheme="minorHAnsi"/>
          <w:b/>
        </w:rPr>
      </w:pPr>
      <w:r w:rsidRPr="00003F5B">
        <w:rPr>
          <w:rFonts w:asciiTheme="minorHAnsi" w:hAnsiTheme="minorHAnsi" w:cstheme="minorHAnsi"/>
          <w:b/>
        </w:rPr>
        <w:t xml:space="preserve">Objętość badań obecnie przechowywanych w systemie (do migracji): </w:t>
      </w:r>
    </w:p>
    <w:p w14:paraId="52452563" w14:textId="77777777" w:rsidR="00003F5B" w:rsidRPr="00003F5B" w:rsidRDefault="00003F5B" w:rsidP="00003F5B">
      <w:pPr>
        <w:ind w:firstLine="708"/>
        <w:jc w:val="both"/>
        <w:rPr>
          <w:rFonts w:cstheme="minorHAnsi"/>
          <w:b/>
        </w:rPr>
      </w:pPr>
      <w:r w:rsidRPr="00003F5B">
        <w:rPr>
          <w:rFonts w:cstheme="minorHAnsi"/>
          <w:b/>
        </w:rPr>
        <w:t>Łączny rozmiar badań: 130 TB</w:t>
      </w:r>
    </w:p>
    <w:p w14:paraId="41B829DF" w14:textId="77777777" w:rsidR="00003F5B" w:rsidRDefault="00003F5B" w:rsidP="00003F5B">
      <w:pPr>
        <w:pStyle w:val="Nagwek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Oszacowanie roczne:</w:t>
      </w:r>
    </w:p>
    <w:p w14:paraId="512B20DC" w14:textId="77777777" w:rsidR="00003F5B" w:rsidRDefault="00003F5B" w:rsidP="00003F5B">
      <w:pPr>
        <w:ind w:left="708"/>
        <w:rPr>
          <w:rFonts w:cstheme="minorHAnsi"/>
        </w:rPr>
      </w:pPr>
      <w:r>
        <w:rPr>
          <w:rFonts w:cstheme="minorHAnsi"/>
        </w:rPr>
        <w:t>Badania: 120 000</w:t>
      </w:r>
      <w:r>
        <w:rPr>
          <w:rFonts w:cstheme="minorHAnsi"/>
        </w:rPr>
        <w:br/>
        <w:t>Obrazy: 75 000 000</w:t>
      </w:r>
      <w:r>
        <w:rPr>
          <w:rFonts w:cstheme="minorHAnsi"/>
        </w:rPr>
        <w:br/>
        <w:t>Rozmiar: 35 TB</w:t>
      </w:r>
      <w:r>
        <w:rPr>
          <w:rFonts w:cstheme="minorHAnsi"/>
        </w:rPr>
        <w:br/>
        <w:t>Średnia ilość obrazów na badanie: 600</w:t>
      </w:r>
      <w:r>
        <w:rPr>
          <w:rFonts w:cstheme="minorHAnsi"/>
        </w:rPr>
        <w:br/>
        <w:t xml:space="preserve">Średni rozmiar obrazu: 0,5 </w:t>
      </w:r>
      <w:proofErr w:type="spellStart"/>
      <w:r>
        <w:rPr>
          <w:rFonts w:cstheme="minorHAnsi"/>
        </w:rPr>
        <w:t>MiB</w:t>
      </w:r>
      <w:proofErr w:type="spellEnd"/>
      <w:r>
        <w:rPr>
          <w:rFonts w:cstheme="minorHAnsi"/>
        </w:rPr>
        <w:br/>
      </w:r>
      <w:r>
        <w:rPr>
          <w:rFonts w:cstheme="minorHAnsi"/>
        </w:rPr>
        <w:lastRenderedPageBreak/>
        <w:t xml:space="preserve">Średni rozmiar badania: 300 </w:t>
      </w:r>
      <w:proofErr w:type="spellStart"/>
      <w:r>
        <w:rPr>
          <w:rFonts w:cstheme="minorHAnsi"/>
        </w:rPr>
        <w:t>MiB</w:t>
      </w:r>
      <w:proofErr w:type="spellEnd"/>
      <w:r>
        <w:rPr>
          <w:rFonts w:cstheme="minorHAnsi"/>
        </w:rPr>
        <w:br/>
        <w:t>Przyrost roczny (Badania / Obrazy): 15,00%</w:t>
      </w:r>
    </w:p>
    <w:p w14:paraId="0448DE0C" w14:textId="5FD5FD6C" w:rsidR="00003F5B" w:rsidRPr="007715C0" w:rsidRDefault="007715C0" w:rsidP="00003F5B">
      <w:pPr>
        <w:rPr>
          <w:rStyle w:val="Pogrubienie"/>
        </w:rPr>
      </w:pPr>
      <w:r w:rsidRPr="007715C0">
        <w:rPr>
          <w:rStyle w:val="Pogrubienie"/>
        </w:rPr>
        <w:t>Wymagania co do funkcjonalności systemu</w:t>
      </w:r>
    </w:p>
    <w:p w14:paraId="4633C13B" w14:textId="77777777" w:rsidR="007715C0" w:rsidRDefault="007715C0" w:rsidP="007715C0">
      <w:pPr>
        <w:pStyle w:val="Akapitzlist"/>
        <w:numPr>
          <w:ilvl w:val="0"/>
          <w:numId w:val="1"/>
        </w:numPr>
      </w:pPr>
      <w:r>
        <w:t>Oferent musi zapewnić o</w:t>
      </w:r>
      <w:r w:rsidRPr="002D3CDA">
        <w:t>programowanie klienta systemu dystrybucji obrazów</w:t>
      </w:r>
      <w:r>
        <w:t xml:space="preserve"> na potrzeby lekarzy radiologów</w:t>
      </w:r>
      <w:r w:rsidRPr="002D3CDA">
        <w:t xml:space="preserve"> umożliwiające bezpośrednie diagnozowanie i monitorowanie procesów życiowych</w:t>
      </w:r>
      <w:r>
        <w:t>. Oprogramowanie klienta musi:</w:t>
      </w:r>
    </w:p>
    <w:p w14:paraId="4A88DB62" w14:textId="77777777" w:rsidR="007715C0" w:rsidRDefault="007715C0" w:rsidP="007715C0">
      <w:pPr>
        <w:pStyle w:val="Akapitzlist"/>
        <w:numPr>
          <w:ilvl w:val="1"/>
          <w:numId w:val="14"/>
        </w:numPr>
      </w:pPr>
      <w:r>
        <w:t xml:space="preserve">Działać na systemach operacyjnych stacji opisowych Windows 11. </w:t>
      </w:r>
    </w:p>
    <w:p w14:paraId="7F552E77" w14:textId="77777777" w:rsidR="007715C0" w:rsidRDefault="007715C0" w:rsidP="007715C0">
      <w:pPr>
        <w:pStyle w:val="Akapitzlist"/>
        <w:numPr>
          <w:ilvl w:val="1"/>
          <w:numId w:val="14"/>
        </w:numPr>
      </w:pPr>
      <w:r>
        <w:t xml:space="preserve">Zapewnić możliwość pracy dla lekarza radiologa na stacjach opisowych skonfigurowanych do </w:t>
      </w:r>
      <w:r w:rsidRPr="0081740F">
        <w:t>pracy z monitorami: opisowym (1 szt.) i diagnostycznymi (2 szt.)</w:t>
      </w:r>
    </w:p>
    <w:p w14:paraId="01E492B4" w14:textId="77777777" w:rsidR="007715C0" w:rsidRDefault="007715C0" w:rsidP="007715C0">
      <w:pPr>
        <w:pStyle w:val="Akapitzlist"/>
        <w:numPr>
          <w:ilvl w:val="0"/>
          <w:numId w:val="1"/>
        </w:numPr>
      </w:pPr>
      <w:r>
        <w:t>Oferent musi zapewnić oprogramowanie przeglądarkowe systemu dystrybucji obrazów na potrzeby lekarzy klinicystów – bez limitu jednocześnie zalogowanych użytkowników – bez konieczności instalowania żadnych dodatkowych komponentów i wtyczek.</w:t>
      </w:r>
    </w:p>
    <w:p w14:paraId="38DCC674" w14:textId="6AB5D602" w:rsidR="007715C0" w:rsidRPr="00CD741E" w:rsidRDefault="007715C0" w:rsidP="007715C0">
      <w:pPr>
        <w:pStyle w:val="Akapitzlist"/>
        <w:numPr>
          <w:ilvl w:val="0"/>
          <w:numId w:val="1"/>
        </w:numPr>
      </w:pPr>
      <w:r w:rsidRPr="00CD741E">
        <w:t>Zamawiający dopuszcza możliwość użytkowania tego samego oprogramowania przez lekarzy radiologów i lekarzy klinicystów pod warunkiem zachowania wytycznych opisanych w pkt. 1</w:t>
      </w:r>
      <w:r w:rsidR="00351FEC">
        <w:t>4</w:t>
      </w:r>
      <w:r w:rsidR="003A0BCA" w:rsidRPr="00CD741E">
        <w:t xml:space="preserve"> i 1</w:t>
      </w:r>
      <w:r w:rsidR="00351FEC">
        <w:t>5</w:t>
      </w:r>
      <w:r w:rsidRPr="00CD741E">
        <w:t>.</w:t>
      </w:r>
    </w:p>
    <w:p w14:paraId="05D82240" w14:textId="14EC8D28" w:rsidR="00DB3515" w:rsidRDefault="00DB3515" w:rsidP="007715C0">
      <w:pPr>
        <w:pStyle w:val="Akapitzlist"/>
        <w:numPr>
          <w:ilvl w:val="0"/>
          <w:numId w:val="1"/>
        </w:numPr>
      </w:pPr>
      <w:r>
        <w:t>Oprogramowanie musi wspierać polskie znaki diakrytyczne.</w:t>
      </w:r>
    </w:p>
    <w:p w14:paraId="08B6196D" w14:textId="15981130" w:rsidR="007715C0" w:rsidRDefault="007715C0" w:rsidP="007715C0">
      <w:pPr>
        <w:pStyle w:val="Akapitzlist"/>
        <w:numPr>
          <w:ilvl w:val="0"/>
          <w:numId w:val="1"/>
        </w:numPr>
      </w:pPr>
      <w:r>
        <w:t>Oferent musi zapewnić b</w:t>
      </w:r>
      <w:r w:rsidRPr="002D3CDA">
        <w:t xml:space="preserve">rak ograniczeń licencyjnych </w:t>
      </w:r>
      <w:r>
        <w:t xml:space="preserve">systemu dotyczących ilości </w:t>
      </w:r>
      <w:r w:rsidRPr="002D3CDA">
        <w:t>archiwizowanych badań, dostępnej przestrzeni dyskowej dla danych on-line, ilości podłączanych urządzeń</w:t>
      </w:r>
      <w:r>
        <w:t>.</w:t>
      </w:r>
    </w:p>
    <w:p w14:paraId="4CFA2770" w14:textId="77777777" w:rsidR="007715C0" w:rsidRDefault="007715C0" w:rsidP="007715C0">
      <w:pPr>
        <w:pStyle w:val="Akapitzlist"/>
        <w:numPr>
          <w:ilvl w:val="0"/>
          <w:numId w:val="1"/>
        </w:numPr>
      </w:pPr>
      <w:r>
        <w:t xml:space="preserve">Oferent musi zapewnić możliwość logowania się do oprogramowania klienta systemu oraz oprogramowania przeglądarkowego za pomocą kont systemu usług katalogowych Microsoft </w:t>
      </w:r>
      <w:proofErr w:type="spellStart"/>
      <w:r>
        <w:t>ActiveDirectory</w:t>
      </w:r>
      <w:proofErr w:type="spellEnd"/>
      <w:r>
        <w:t xml:space="preserve"> ze wsparciem mechanizmu SSO.</w:t>
      </w:r>
    </w:p>
    <w:p w14:paraId="33C7E069" w14:textId="77777777" w:rsidR="007715C0" w:rsidRDefault="007715C0" w:rsidP="007715C0">
      <w:pPr>
        <w:pStyle w:val="Akapitzlist"/>
        <w:numPr>
          <w:ilvl w:val="0"/>
          <w:numId w:val="1"/>
        </w:numPr>
      </w:pPr>
      <w:r>
        <w:t>Oferent musi zapewnić możliwość importu danych obrazowych w formacie DICOM z płyt CD/DVD przy pomocy oprogramowania klienta systemu.</w:t>
      </w:r>
    </w:p>
    <w:p w14:paraId="3A8BB1AF" w14:textId="6F2A51DA" w:rsidR="00CD741E" w:rsidRDefault="00CD741E" w:rsidP="00CD741E">
      <w:pPr>
        <w:pStyle w:val="Akapitzlist"/>
        <w:numPr>
          <w:ilvl w:val="0"/>
          <w:numId w:val="1"/>
        </w:numPr>
      </w:pPr>
      <w:r>
        <w:t>Oprogramowanie</w:t>
      </w:r>
      <w:r w:rsidRPr="00CD741E">
        <w:t xml:space="preserve"> musi zawierać narzędzia pomagające w zarządzaniu danymi i dokumentacją pacjentów; na przykład, z zastrzeżeniem odpowiednich środków kontroli bezpieczeństwa, należy zapewnić funkcje umożliwiające łączenie, rozłączanie i usuwanie rekordów danych oraz umożliwianie ponownego przypisania obrazów innym pacjentom (np. gdy połączenie zostało przeprowadzone przez pomyłkę).</w:t>
      </w:r>
    </w:p>
    <w:p w14:paraId="087AD352" w14:textId="623F8986" w:rsidR="007715C0" w:rsidRDefault="007715C0" w:rsidP="007715C0">
      <w:pPr>
        <w:pStyle w:val="Akapitzlist"/>
        <w:numPr>
          <w:ilvl w:val="0"/>
          <w:numId w:val="1"/>
        </w:numPr>
      </w:pPr>
      <w:r>
        <w:t xml:space="preserve">Oprogramowania klienta systemu musi zapewnić możliwość pełnej </w:t>
      </w:r>
      <w:proofErr w:type="spellStart"/>
      <w:r>
        <w:t>anonimizacji</w:t>
      </w:r>
      <w:proofErr w:type="spellEnd"/>
      <w:r>
        <w:t xml:space="preserve"> danych obrazowych.</w:t>
      </w:r>
    </w:p>
    <w:p w14:paraId="5AF8028C" w14:textId="77777777" w:rsidR="007715C0" w:rsidRDefault="007715C0" w:rsidP="007715C0">
      <w:pPr>
        <w:pStyle w:val="Akapitzlist"/>
        <w:numPr>
          <w:ilvl w:val="0"/>
          <w:numId w:val="1"/>
        </w:numPr>
      </w:pPr>
      <w:r>
        <w:t>Oprogramowania klienta systemu musi zapewnić możliwość eksportu danych obrazowych w formatach DICOM, JPG, AVI na następujące nośniki: USB, CD/DVD.</w:t>
      </w:r>
    </w:p>
    <w:p w14:paraId="64DD1645" w14:textId="77777777" w:rsidR="00DB3515" w:rsidRPr="00DB3515" w:rsidRDefault="007715C0" w:rsidP="007715C0">
      <w:pPr>
        <w:pStyle w:val="Akapitzlist"/>
        <w:numPr>
          <w:ilvl w:val="0"/>
          <w:numId w:val="1"/>
        </w:numPr>
      </w:pPr>
      <w:r w:rsidRPr="007715C0">
        <w:rPr>
          <w:rFonts w:cstheme="minorHAnsi"/>
        </w:rPr>
        <w:t xml:space="preserve">Oferent musi zapewnić </w:t>
      </w:r>
      <w:r w:rsidRPr="007715C0">
        <w:rPr>
          <w:rFonts w:cstheme="minorHAnsi"/>
          <w:bCs/>
        </w:rPr>
        <w:t>aplikację na telefon komórkowy umożliwiająca bezpieczne przesyłanie obrazów (zdjęć) na platformę VNA</w:t>
      </w:r>
      <w:r w:rsidR="00CD741E">
        <w:rPr>
          <w:rFonts w:cstheme="minorHAnsi"/>
          <w:bCs/>
        </w:rPr>
        <w:t>.</w:t>
      </w:r>
    </w:p>
    <w:p w14:paraId="2F680FD2" w14:textId="365FC169" w:rsidR="007715C0" w:rsidRPr="007715C0" w:rsidRDefault="00DB3515" w:rsidP="00DB3515">
      <w:pPr>
        <w:pStyle w:val="Akapitzlist"/>
        <w:numPr>
          <w:ilvl w:val="0"/>
          <w:numId w:val="1"/>
        </w:numPr>
      </w:pPr>
      <w:r>
        <w:rPr>
          <w:rFonts w:cstheme="minorHAnsi"/>
          <w:bCs/>
        </w:rPr>
        <w:t xml:space="preserve">Oprogramowanie </w:t>
      </w:r>
      <w:r w:rsidR="001B60B0">
        <w:rPr>
          <w:rFonts w:cstheme="minorHAnsi"/>
          <w:bCs/>
        </w:rPr>
        <w:t xml:space="preserve">musi </w:t>
      </w:r>
      <w:r w:rsidRPr="00DB3515">
        <w:rPr>
          <w:rFonts w:cstheme="minorHAnsi"/>
          <w:bCs/>
        </w:rPr>
        <w:t>zapewni</w:t>
      </w:r>
      <w:r w:rsidR="001B60B0">
        <w:rPr>
          <w:rFonts w:cstheme="minorHAnsi"/>
          <w:bCs/>
        </w:rPr>
        <w:t>ć</w:t>
      </w:r>
      <w:r w:rsidRPr="00DB3515">
        <w:rPr>
          <w:rFonts w:cstheme="minorHAnsi"/>
          <w:bCs/>
        </w:rPr>
        <w:t xml:space="preserve"> możliwość przyjmowania informacji o badaniach porównawczych do zleconego b</w:t>
      </w:r>
      <w:r w:rsidR="001B60B0">
        <w:rPr>
          <w:rFonts w:cstheme="minorHAnsi"/>
          <w:bCs/>
        </w:rPr>
        <w:t>adania oraz zapewnić</w:t>
      </w:r>
      <w:r w:rsidRPr="00DB3515">
        <w:rPr>
          <w:rFonts w:cstheme="minorHAnsi"/>
          <w:bCs/>
        </w:rPr>
        <w:t xml:space="preserve"> automatyczne ściąganie lub odbieranie danych obrazowych badań porównawczych z określonego archiwum</w:t>
      </w:r>
      <w:r>
        <w:rPr>
          <w:rFonts w:cstheme="minorHAnsi"/>
          <w:bCs/>
        </w:rPr>
        <w:t>.</w:t>
      </w:r>
      <w:r>
        <w:rPr>
          <w:rFonts w:cstheme="minorHAnsi"/>
          <w:bCs/>
        </w:rPr>
        <w:br/>
      </w:r>
    </w:p>
    <w:p w14:paraId="0103305B" w14:textId="77777777" w:rsidR="007715C0" w:rsidRDefault="007715C0" w:rsidP="007715C0">
      <w:pPr>
        <w:pStyle w:val="Akapitzlist"/>
      </w:pPr>
    </w:p>
    <w:p w14:paraId="778B3C86" w14:textId="53A5925F" w:rsidR="00003F5B" w:rsidRPr="00003F5B" w:rsidRDefault="00003F5B" w:rsidP="00003F5B">
      <w:pPr>
        <w:rPr>
          <w:rStyle w:val="Pogrubienie"/>
        </w:rPr>
      </w:pPr>
      <w:r w:rsidRPr="00003F5B">
        <w:rPr>
          <w:rStyle w:val="Pogrubienie"/>
        </w:rPr>
        <w:t>Wymagania co do integracji urządzeń</w:t>
      </w:r>
    </w:p>
    <w:p w14:paraId="3FE68A02" w14:textId="6DAA6EFE" w:rsidR="00D32D53" w:rsidRPr="00920671" w:rsidRDefault="00D32D53" w:rsidP="007715C0">
      <w:pPr>
        <w:pStyle w:val="Akapitzlist"/>
        <w:numPr>
          <w:ilvl w:val="0"/>
          <w:numId w:val="1"/>
        </w:numPr>
      </w:pPr>
      <w:r w:rsidRPr="00920671">
        <w:t xml:space="preserve">Oferent musi zapewnić podłączenie </w:t>
      </w:r>
      <w:r w:rsidR="00A84594">
        <w:t xml:space="preserve">minimum </w:t>
      </w:r>
      <w:r w:rsidR="0092724D">
        <w:t xml:space="preserve">niżej </w:t>
      </w:r>
      <w:r w:rsidRPr="00920671">
        <w:t>wymienionych urządzeń użytkowanych w szpitalu – koszt prac, które muszą zostać wykonane przez firmy serwisujące urządzenia w celu podłączenia do systemu, ponosi oferent:</w:t>
      </w:r>
    </w:p>
    <w:p w14:paraId="0A493C6E" w14:textId="77777777" w:rsidR="00D32D53" w:rsidRDefault="00D32D53" w:rsidP="00351FEC">
      <w:pPr>
        <w:pStyle w:val="Akapitzlist"/>
        <w:numPr>
          <w:ilvl w:val="0"/>
          <w:numId w:val="18"/>
        </w:numPr>
      </w:pPr>
      <w:r>
        <w:t>Rezonans magnetyczny – 2 szt.</w:t>
      </w:r>
    </w:p>
    <w:p w14:paraId="36A0094D" w14:textId="77777777" w:rsidR="00D32D53" w:rsidRDefault="00D32D53" w:rsidP="00351FEC">
      <w:pPr>
        <w:pStyle w:val="Akapitzlist"/>
        <w:numPr>
          <w:ilvl w:val="0"/>
          <w:numId w:val="18"/>
        </w:numPr>
      </w:pPr>
      <w:r>
        <w:t>Tomograf komputerowy – 3 szt.</w:t>
      </w:r>
    </w:p>
    <w:p w14:paraId="3491916F" w14:textId="77777777" w:rsidR="00D32D53" w:rsidRDefault="00D32D53" w:rsidP="00351FEC">
      <w:pPr>
        <w:pStyle w:val="Akapitzlist"/>
        <w:numPr>
          <w:ilvl w:val="0"/>
          <w:numId w:val="18"/>
        </w:numPr>
      </w:pPr>
      <w:r>
        <w:lastRenderedPageBreak/>
        <w:t xml:space="preserve">Aparat RTG </w:t>
      </w:r>
      <w:r w:rsidR="00B53F91">
        <w:t xml:space="preserve">stacjonarny </w:t>
      </w:r>
      <w:r w:rsidR="0092115C">
        <w:t>–</w:t>
      </w:r>
      <w:r w:rsidR="00B53F91">
        <w:t xml:space="preserve"> 2</w:t>
      </w:r>
      <w:r w:rsidR="0092115C">
        <w:t xml:space="preserve"> szt.</w:t>
      </w:r>
    </w:p>
    <w:p w14:paraId="4F852D95" w14:textId="77777777" w:rsidR="00D32D53" w:rsidRDefault="00D32D53" w:rsidP="00351FEC">
      <w:pPr>
        <w:pStyle w:val="Akapitzlist"/>
        <w:numPr>
          <w:ilvl w:val="0"/>
          <w:numId w:val="18"/>
        </w:numPr>
      </w:pPr>
      <w:r>
        <w:t xml:space="preserve">Aparat RTG przewoźny – </w:t>
      </w:r>
      <w:r w:rsidR="00920671">
        <w:t xml:space="preserve"> 4 szt.</w:t>
      </w:r>
    </w:p>
    <w:p w14:paraId="43329A4D" w14:textId="77777777" w:rsidR="001D64D2" w:rsidRDefault="00B27E1E" w:rsidP="00351FEC">
      <w:pPr>
        <w:pStyle w:val="Akapitzlist"/>
        <w:numPr>
          <w:ilvl w:val="0"/>
          <w:numId w:val="18"/>
        </w:numPr>
      </w:pPr>
      <w:r>
        <w:t>Skaner – m</w:t>
      </w:r>
      <w:r w:rsidR="001D64D2">
        <w:t>ammograf</w:t>
      </w:r>
      <w:r w:rsidR="00B53F91">
        <w:t xml:space="preserve">ia </w:t>
      </w:r>
      <w:r w:rsidR="001D64D2">
        <w:t xml:space="preserve"> – 1 szt.</w:t>
      </w:r>
    </w:p>
    <w:p w14:paraId="07564867" w14:textId="65109F6E" w:rsidR="001D64D2" w:rsidRDefault="00C17270" w:rsidP="00351FEC">
      <w:pPr>
        <w:pStyle w:val="Akapitzlist"/>
        <w:numPr>
          <w:ilvl w:val="0"/>
          <w:numId w:val="18"/>
        </w:numPr>
      </w:pPr>
      <w:r>
        <w:t xml:space="preserve">Aparat USG – </w:t>
      </w:r>
      <w:r w:rsidR="0092724D">
        <w:t xml:space="preserve">około </w:t>
      </w:r>
      <w:r>
        <w:t>5</w:t>
      </w:r>
      <w:r w:rsidR="0092724D">
        <w:t>0</w:t>
      </w:r>
      <w:r>
        <w:t xml:space="preserve"> szt.</w:t>
      </w:r>
    </w:p>
    <w:p w14:paraId="14245563" w14:textId="77777777" w:rsidR="00D32D53" w:rsidRDefault="00D32D53" w:rsidP="00351FEC">
      <w:pPr>
        <w:pStyle w:val="Akapitzlist"/>
        <w:numPr>
          <w:ilvl w:val="0"/>
          <w:numId w:val="18"/>
        </w:numPr>
      </w:pPr>
      <w:r>
        <w:t>Aparat RTG stomatologiczny – 1 szt.</w:t>
      </w:r>
    </w:p>
    <w:p w14:paraId="50EC72C2" w14:textId="77777777" w:rsidR="00D32D53" w:rsidRDefault="00D32D53" w:rsidP="00351FEC">
      <w:pPr>
        <w:pStyle w:val="Akapitzlist"/>
        <w:numPr>
          <w:ilvl w:val="0"/>
          <w:numId w:val="18"/>
        </w:numPr>
      </w:pPr>
      <w:r>
        <w:t>Aparat RTG stomatologiczny do zdjęć panoramicznych – 1 szt.</w:t>
      </w:r>
    </w:p>
    <w:p w14:paraId="19FB545F" w14:textId="0E57C76C" w:rsidR="00D32D53" w:rsidRDefault="00B53F91" w:rsidP="00351FEC">
      <w:pPr>
        <w:pStyle w:val="Akapitzlist"/>
        <w:numPr>
          <w:ilvl w:val="0"/>
          <w:numId w:val="18"/>
        </w:numPr>
      </w:pPr>
      <w:proofErr w:type="spellStart"/>
      <w:r>
        <w:t>Angiograf</w:t>
      </w:r>
      <w:proofErr w:type="spellEnd"/>
      <w:r>
        <w:t xml:space="preserve"> - </w:t>
      </w:r>
      <w:r w:rsidR="00A84594">
        <w:t>4</w:t>
      </w:r>
      <w:r w:rsidR="00D32D53">
        <w:t xml:space="preserve"> szt.</w:t>
      </w:r>
    </w:p>
    <w:p w14:paraId="59E07675" w14:textId="77777777" w:rsidR="00D32D53" w:rsidRDefault="00B53F91" w:rsidP="00351FEC">
      <w:pPr>
        <w:pStyle w:val="Akapitzlist"/>
        <w:numPr>
          <w:ilvl w:val="0"/>
          <w:numId w:val="18"/>
        </w:numPr>
      </w:pPr>
      <w:r>
        <w:t>Gamma kamera – 2 szt.</w:t>
      </w:r>
    </w:p>
    <w:p w14:paraId="132D5E51" w14:textId="488F8AB6" w:rsidR="00D32D53" w:rsidRDefault="00D32D53" w:rsidP="00351FEC">
      <w:pPr>
        <w:pStyle w:val="Akapitzlist"/>
        <w:numPr>
          <w:ilvl w:val="0"/>
          <w:numId w:val="18"/>
        </w:numPr>
      </w:pPr>
      <w:r>
        <w:t>System endoskopowy firmy</w:t>
      </w:r>
      <w:r w:rsidR="00B53F91">
        <w:t xml:space="preserve"> Olympus – </w:t>
      </w:r>
      <w:r w:rsidR="00A84594">
        <w:t>3</w:t>
      </w:r>
      <w:bookmarkStart w:id="0" w:name="_GoBack"/>
      <w:bookmarkEnd w:id="0"/>
      <w:r w:rsidR="00B53F91">
        <w:t xml:space="preserve"> szt.</w:t>
      </w:r>
    </w:p>
    <w:p w14:paraId="4E880DE9" w14:textId="77777777" w:rsidR="00D32D53" w:rsidRDefault="00D32D53" w:rsidP="00351FEC">
      <w:pPr>
        <w:pStyle w:val="Akapitzlist"/>
        <w:numPr>
          <w:ilvl w:val="0"/>
          <w:numId w:val="18"/>
        </w:numPr>
      </w:pPr>
      <w:r>
        <w:t>System</w:t>
      </w:r>
      <w:r w:rsidR="00B53F91">
        <w:t xml:space="preserve"> endoskopowy firmy </w:t>
      </w:r>
      <w:proofErr w:type="spellStart"/>
      <w:r w:rsidR="00B53F91">
        <w:t>Varimed</w:t>
      </w:r>
      <w:proofErr w:type="spellEnd"/>
      <w:r w:rsidR="00B53F91">
        <w:t xml:space="preserve"> – 1 szt.</w:t>
      </w:r>
    </w:p>
    <w:p w14:paraId="548A7E3B" w14:textId="77777777" w:rsidR="00F33772" w:rsidRDefault="00DA14A9" w:rsidP="00351FEC">
      <w:pPr>
        <w:pStyle w:val="Akapitzlist"/>
        <w:numPr>
          <w:ilvl w:val="0"/>
          <w:numId w:val="18"/>
        </w:numPr>
      </w:pPr>
      <w:r>
        <w:t>System kontroli dawki – 1 szt.</w:t>
      </w:r>
    </w:p>
    <w:p w14:paraId="60198E6C" w14:textId="77777777" w:rsidR="00DA14A9" w:rsidRDefault="00DA14A9" w:rsidP="00351FEC">
      <w:pPr>
        <w:pStyle w:val="Akapitzlist"/>
        <w:numPr>
          <w:ilvl w:val="0"/>
          <w:numId w:val="18"/>
        </w:numPr>
      </w:pPr>
      <w:r>
        <w:t>Aparat EKG</w:t>
      </w:r>
      <w:r w:rsidR="00C17270">
        <w:t xml:space="preserve"> – 2 szt.</w:t>
      </w:r>
    </w:p>
    <w:p w14:paraId="4F79C224" w14:textId="77777777" w:rsidR="00DA14A9" w:rsidRDefault="00C17270" w:rsidP="00351FEC">
      <w:pPr>
        <w:pStyle w:val="Akapitzlist"/>
        <w:numPr>
          <w:ilvl w:val="0"/>
          <w:numId w:val="18"/>
        </w:numPr>
      </w:pPr>
      <w:proofErr w:type="spellStart"/>
      <w:r>
        <w:t>Neuronawigacja</w:t>
      </w:r>
      <w:proofErr w:type="spellEnd"/>
      <w:r>
        <w:t xml:space="preserve"> – 2 szt.</w:t>
      </w:r>
    </w:p>
    <w:p w14:paraId="0D19B10E" w14:textId="77777777" w:rsidR="00C17270" w:rsidRDefault="00C17270" w:rsidP="00351FEC">
      <w:pPr>
        <w:pStyle w:val="Akapitzlist"/>
        <w:numPr>
          <w:ilvl w:val="0"/>
          <w:numId w:val="18"/>
        </w:numPr>
      </w:pPr>
      <w:r>
        <w:t>Dedykowana stacja do analizy tomografii serc</w:t>
      </w:r>
    </w:p>
    <w:p w14:paraId="2DAA0EA0" w14:textId="77777777" w:rsidR="00C17270" w:rsidRDefault="00C17270" w:rsidP="00351FEC">
      <w:pPr>
        <w:pStyle w:val="Akapitzlist"/>
        <w:numPr>
          <w:ilvl w:val="0"/>
          <w:numId w:val="18"/>
        </w:numPr>
      </w:pPr>
      <w:r>
        <w:t>Serwery aplikacyjne (SYNGOVIA) - 2 szt.</w:t>
      </w:r>
    </w:p>
    <w:p w14:paraId="6FFFCDDD" w14:textId="77777777" w:rsidR="00C17270" w:rsidRDefault="00C17270" w:rsidP="00351FEC">
      <w:pPr>
        <w:pStyle w:val="Akapitzlist"/>
        <w:numPr>
          <w:ilvl w:val="0"/>
          <w:numId w:val="18"/>
        </w:numPr>
      </w:pPr>
      <w:r>
        <w:t>Drukarka klisz mammograficznych – 1szt.</w:t>
      </w:r>
    </w:p>
    <w:p w14:paraId="43898AE6" w14:textId="77777777" w:rsidR="00C17270" w:rsidRDefault="00C17270" w:rsidP="00351FEC">
      <w:pPr>
        <w:pStyle w:val="Akapitzlist"/>
        <w:numPr>
          <w:ilvl w:val="0"/>
          <w:numId w:val="18"/>
        </w:numPr>
      </w:pPr>
      <w:r>
        <w:t xml:space="preserve">Stacje typu </w:t>
      </w:r>
      <w:proofErr w:type="spellStart"/>
      <w:r>
        <w:t>Osirix</w:t>
      </w:r>
      <w:proofErr w:type="spellEnd"/>
      <w:r>
        <w:t xml:space="preserve"> – 2 szt.</w:t>
      </w:r>
    </w:p>
    <w:p w14:paraId="0EA27DE3" w14:textId="77777777" w:rsidR="00C17270" w:rsidRDefault="00C17270" w:rsidP="00351FEC">
      <w:pPr>
        <w:pStyle w:val="Akapitzlist"/>
        <w:numPr>
          <w:ilvl w:val="0"/>
          <w:numId w:val="18"/>
        </w:numPr>
      </w:pPr>
      <w:r>
        <w:t xml:space="preserve">Server XELERIS NM – 1 szt. </w:t>
      </w:r>
    </w:p>
    <w:p w14:paraId="63566ACD" w14:textId="77777777" w:rsidR="0092724D" w:rsidRDefault="00990816" w:rsidP="0092724D">
      <w:pPr>
        <w:pStyle w:val="Akapitzlist"/>
        <w:numPr>
          <w:ilvl w:val="0"/>
          <w:numId w:val="1"/>
        </w:numPr>
        <w:jc w:val="both"/>
      </w:pPr>
      <w:r>
        <w:t>Wykonawca jest zobowiązany podłączyć urządzenia posiadane na dzień instalacji systemu oraz podłączać kolejne urządzenia przez cały okres trwania umowy serwisowej bez dodatkowych opłat</w:t>
      </w:r>
      <w:r w:rsidR="002D276A">
        <w:t>.</w:t>
      </w:r>
      <w:r w:rsidR="0092724D" w:rsidRPr="0092724D">
        <w:t xml:space="preserve"> Zamawiający </w:t>
      </w:r>
      <w:r w:rsidR="0092724D">
        <w:t>preferuje</w:t>
      </w:r>
      <w:r w:rsidR="0092724D" w:rsidRPr="0092724D">
        <w:t xml:space="preserve"> </w:t>
      </w:r>
      <w:r w:rsidR="0092724D">
        <w:t>rozwiązanie gdzie</w:t>
      </w:r>
      <w:r w:rsidR="0092724D" w:rsidRPr="0092724D">
        <w:t xml:space="preserve"> administrator m</w:t>
      </w:r>
      <w:r w:rsidR="0092724D">
        <w:t xml:space="preserve">oże </w:t>
      </w:r>
      <w:r w:rsidR="0092724D" w:rsidRPr="0092724D">
        <w:t xml:space="preserve">samodzielnie dodawać </w:t>
      </w:r>
      <w:r w:rsidR="0092724D">
        <w:br/>
      </w:r>
      <w:r w:rsidR="0092724D" w:rsidRPr="0092724D">
        <w:t>i integrować urządzenia DICOM, bez konieczności zakupu dodatkowych licencji.</w:t>
      </w:r>
      <w:r w:rsidR="0092724D">
        <w:t xml:space="preserve"> </w:t>
      </w:r>
    </w:p>
    <w:p w14:paraId="0AC42943" w14:textId="68677091" w:rsidR="00990816" w:rsidRDefault="0092724D" w:rsidP="0092724D">
      <w:pPr>
        <w:pStyle w:val="Akapitzlist"/>
        <w:numPr>
          <w:ilvl w:val="0"/>
          <w:numId w:val="1"/>
        </w:numPr>
        <w:jc w:val="both"/>
      </w:pPr>
      <w:r w:rsidRPr="0092724D">
        <w:t>Zamawiający wymaga, aby administrator mógł samodzielnie dodawać i edytować listę badań, procedur, aparatów i pracowni.</w:t>
      </w:r>
    </w:p>
    <w:p w14:paraId="226FA0DF" w14:textId="31D235BD" w:rsidR="0018746F" w:rsidRDefault="0018746F" w:rsidP="007715C0">
      <w:pPr>
        <w:pStyle w:val="Akapitzlist"/>
        <w:numPr>
          <w:ilvl w:val="0"/>
          <w:numId w:val="1"/>
        </w:numPr>
      </w:pPr>
      <w:r>
        <w:t>Oferent musi zapewnić obsługę list roboczych na urz</w:t>
      </w:r>
      <w:r w:rsidR="00DB3515">
        <w:t>ądzeniach wymienionych w pkt. 2</w:t>
      </w:r>
      <w:r w:rsidR="00351FEC">
        <w:t>6</w:t>
      </w:r>
      <w:r>
        <w:t xml:space="preserve"> na pod</w:t>
      </w:r>
      <w:r w:rsidR="00115D48">
        <w:t>stawie zleceń z systemu RIS/HIS.</w:t>
      </w:r>
    </w:p>
    <w:p w14:paraId="4A0AE315" w14:textId="119D6419" w:rsidR="007715C0" w:rsidRDefault="007715C0" w:rsidP="007715C0">
      <w:pPr>
        <w:pStyle w:val="Akapitzlist"/>
        <w:numPr>
          <w:ilvl w:val="0"/>
          <w:numId w:val="1"/>
        </w:numPr>
      </w:pPr>
      <w:r>
        <w:t>Oferent musi zapewnić możliwość nagrywania płyt z wynikami badań, zawierających pliki DICOM badania oraz przeglądarkę obrazów DICOM, na posiadanych przez Zamawiającego duplikatorach  Epson PP-100 (4 szt.). Obsługa  nagrywania płyt musi odbywać się z poziomu oprogramowania systemu bez konieczności instalowania dodatkowego oprogramowania.</w:t>
      </w:r>
    </w:p>
    <w:p w14:paraId="388C1354" w14:textId="0EBDF4A3" w:rsidR="00003F5B" w:rsidRDefault="00003F5B" w:rsidP="00003F5B"/>
    <w:p w14:paraId="285ED494" w14:textId="298BB914" w:rsidR="00003F5B" w:rsidRPr="00003F5B" w:rsidRDefault="00003F5B" w:rsidP="00003F5B">
      <w:pPr>
        <w:rPr>
          <w:rStyle w:val="Pogrubienie"/>
        </w:rPr>
      </w:pPr>
      <w:r w:rsidRPr="00003F5B">
        <w:rPr>
          <w:rStyle w:val="Pogrubienie"/>
        </w:rPr>
        <w:t>Wymagania co do integracji z systemem RIS/HIS – system AMMS firmy Asseco</w:t>
      </w:r>
    </w:p>
    <w:p w14:paraId="2F7B40F6" w14:textId="30C7FFE9" w:rsidR="00D32D53" w:rsidRPr="00003F5B" w:rsidRDefault="00D32D53" w:rsidP="007715C0">
      <w:pPr>
        <w:pStyle w:val="Akapitzlist"/>
        <w:numPr>
          <w:ilvl w:val="0"/>
          <w:numId w:val="1"/>
        </w:numPr>
      </w:pPr>
      <w:r w:rsidRPr="00003F5B">
        <w:t xml:space="preserve">Oferent musi zapewnić integrację z systemem </w:t>
      </w:r>
      <w:r w:rsidR="001D64D2" w:rsidRPr="00003F5B">
        <w:t>RIS/</w:t>
      </w:r>
      <w:r w:rsidRPr="00003F5B">
        <w:t>HIS – AMMS firmy Asseco na poziomie HL7</w:t>
      </w:r>
      <w:r w:rsidR="00523337">
        <w:t>, w tym funkcjonalności takie jak:</w:t>
      </w:r>
    </w:p>
    <w:p w14:paraId="2677EED1" w14:textId="77777777" w:rsidR="0092115C" w:rsidRPr="00003F5B" w:rsidRDefault="0092115C" w:rsidP="007715C0">
      <w:pPr>
        <w:pStyle w:val="Akapitzlist"/>
        <w:numPr>
          <w:ilvl w:val="0"/>
          <w:numId w:val="16"/>
        </w:numPr>
      </w:pPr>
      <w:r w:rsidRPr="00003F5B">
        <w:t>obsługa rejestracji zleceń na badania diagnostyki obrazowej oraz opisywanie badań we współpracy z urządzeniami diagnostycznymi oraz archiwum obrazowym PACS,</w:t>
      </w:r>
    </w:p>
    <w:p w14:paraId="62118C69" w14:textId="77777777" w:rsidR="0092115C" w:rsidRPr="00003F5B" w:rsidRDefault="0092115C" w:rsidP="007715C0">
      <w:pPr>
        <w:pStyle w:val="Akapitzlist"/>
        <w:numPr>
          <w:ilvl w:val="0"/>
          <w:numId w:val="16"/>
        </w:numPr>
      </w:pPr>
      <w:r w:rsidRPr="00003F5B">
        <w:t>przygotowanie listy roboczej dla urządzeń diagnostycznych na podstawie zleceń wygenerowanych w systemie HIS,</w:t>
      </w:r>
    </w:p>
    <w:p w14:paraId="564472BB" w14:textId="77777777" w:rsidR="0092115C" w:rsidRPr="00003F5B" w:rsidRDefault="0092115C" w:rsidP="007715C0">
      <w:pPr>
        <w:pStyle w:val="Akapitzlist"/>
        <w:numPr>
          <w:ilvl w:val="0"/>
          <w:numId w:val="16"/>
        </w:numPr>
      </w:pPr>
      <w:r w:rsidRPr="00003F5B">
        <w:t>przeglądanie obrazów z poziomu modułów systemu HIS poprzez interfejs systemu dystrybucji i archiwizacji obrazów</w:t>
      </w:r>
    </w:p>
    <w:p w14:paraId="1AF260EE" w14:textId="77777777" w:rsidR="0092115C" w:rsidRPr="00003F5B" w:rsidRDefault="0092115C" w:rsidP="007715C0">
      <w:pPr>
        <w:pStyle w:val="Akapitzlist"/>
        <w:numPr>
          <w:ilvl w:val="0"/>
          <w:numId w:val="16"/>
        </w:numPr>
      </w:pPr>
      <w:r w:rsidRPr="00003F5B">
        <w:t>automatyczna zmiana statusów zleceń w systemie HIS po realizacji zlecenia na urządzeniu diagnostycznym,</w:t>
      </w:r>
    </w:p>
    <w:p w14:paraId="5F7D3AA3" w14:textId="77777777" w:rsidR="001D64D2" w:rsidRPr="00003F5B" w:rsidRDefault="0092115C" w:rsidP="007715C0">
      <w:pPr>
        <w:pStyle w:val="Akapitzlist"/>
        <w:numPr>
          <w:ilvl w:val="0"/>
          <w:numId w:val="16"/>
        </w:numPr>
      </w:pPr>
      <w:r w:rsidRPr="00003F5B">
        <w:t>aktualizacja (poprawianie) danych pacjenta i badania w systemie dystrybucji i archiwizacji obrazów po wprowadzeniu zmian w systemie HIS</w:t>
      </w:r>
    </w:p>
    <w:p w14:paraId="178B70E6" w14:textId="358133B8" w:rsidR="00003F5B" w:rsidRDefault="00003F5B" w:rsidP="00003F5B">
      <w:pPr>
        <w:pStyle w:val="Akapitzlist"/>
      </w:pPr>
      <w:r>
        <w:t>Szczegółowy opis integracji znajduje się w załączonym dokumencie „</w:t>
      </w:r>
      <w:r w:rsidRPr="009B736A">
        <w:t>Wymagania co do integracji HIS-PACS.docx</w:t>
      </w:r>
      <w:r>
        <w:t>”</w:t>
      </w:r>
    </w:p>
    <w:p w14:paraId="16763903" w14:textId="0188CCF4" w:rsidR="00523337" w:rsidRPr="00DB3515" w:rsidRDefault="00523337" w:rsidP="00523337">
      <w:pPr>
        <w:pStyle w:val="Akapitzlist"/>
        <w:numPr>
          <w:ilvl w:val="0"/>
          <w:numId w:val="1"/>
        </w:numPr>
      </w:pPr>
      <w:r w:rsidRPr="00523337">
        <w:lastRenderedPageBreak/>
        <w:t>Oferowany system musi mieć możliwość przekazywania w liście roboczej (</w:t>
      </w:r>
      <w:proofErr w:type="spellStart"/>
      <w:r w:rsidRPr="00523337">
        <w:t>worklist</w:t>
      </w:r>
      <w:proofErr w:type="spellEnd"/>
      <w:r w:rsidRPr="00523337">
        <w:t>) do każdego zlecenia unikalne</w:t>
      </w:r>
      <w:r>
        <w:t xml:space="preserve">go ID badania, z wykorzystaniem </w:t>
      </w:r>
      <w:r w:rsidRPr="00523337">
        <w:t xml:space="preserve">którego możliwa będzie dalej identyfikacja tego badania w obydwu systemach jeżeli zaistnieje taka potrzeba po stronie </w:t>
      </w:r>
      <w:r w:rsidRPr="00DB3515">
        <w:t>Zamawiającego.</w:t>
      </w:r>
    </w:p>
    <w:p w14:paraId="09A25E0D" w14:textId="06E29E7C" w:rsidR="007B6A33" w:rsidRPr="00DB3515" w:rsidRDefault="007B6A33" w:rsidP="007715C0">
      <w:pPr>
        <w:pStyle w:val="Akapitzlist"/>
        <w:numPr>
          <w:ilvl w:val="0"/>
          <w:numId w:val="1"/>
        </w:numPr>
      </w:pPr>
      <w:r w:rsidRPr="00DB3515">
        <w:t xml:space="preserve">Oferent ponosi pełne koszty integracji z systemem HIS/RIS niezbędne do wykonania </w:t>
      </w:r>
      <w:r w:rsidR="007901C2" w:rsidRPr="00DB3515">
        <w:t xml:space="preserve">zarówno przez </w:t>
      </w:r>
      <w:r w:rsidRPr="00DB3515">
        <w:t>oferenta, jak i koszty prac do wykonania przez firmę Asseco. Zamawiający nie uczestniczy w zlecaniu</w:t>
      </w:r>
      <w:r w:rsidR="007901C2" w:rsidRPr="00DB3515">
        <w:t xml:space="preserve"> jakichkolwiek</w:t>
      </w:r>
      <w:r w:rsidRPr="00DB3515">
        <w:t xml:space="preserve"> prac</w:t>
      </w:r>
      <w:r w:rsidR="007901C2" w:rsidRPr="00DB3515">
        <w:t xml:space="preserve"> związanych z wdrożeniem</w:t>
      </w:r>
      <w:r w:rsidRPr="00DB3515">
        <w:t xml:space="preserve"> firmie Asseco.</w:t>
      </w:r>
    </w:p>
    <w:p w14:paraId="623F778C" w14:textId="5EDE1A43" w:rsidR="001D64D2" w:rsidRDefault="001D64D2" w:rsidP="007715C0">
      <w:pPr>
        <w:pStyle w:val="Akapitzlist"/>
        <w:numPr>
          <w:ilvl w:val="0"/>
          <w:numId w:val="1"/>
        </w:numPr>
      </w:pPr>
      <w:r>
        <w:t>Oferent musi zapewnić możliwość automatycznego wywołania badania obrazowego w oknie oprogramowania klienta systemu po otwarciu badania w RIS/HIS.</w:t>
      </w:r>
    </w:p>
    <w:p w14:paraId="37DA2B1F" w14:textId="7005D729" w:rsidR="001D64D2" w:rsidRDefault="001D64D2" w:rsidP="007715C0">
      <w:pPr>
        <w:pStyle w:val="Akapitzlist"/>
        <w:numPr>
          <w:ilvl w:val="0"/>
          <w:numId w:val="1"/>
        </w:numPr>
      </w:pPr>
      <w:r>
        <w:t>Oferent musi zapewnić m</w:t>
      </w:r>
      <w:r w:rsidRPr="001D64D2">
        <w:t xml:space="preserve">ożliwość wywołania aplikacji </w:t>
      </w:r>
      <w:r>
        <w:t xml:space="preserve">przeglądarkowej </w:t>
      </w:r>
      <w:r w:rsidRPr="001D64D2">
        <w:t>bezpośrednio z systemów trzecich (RIS/HIS) z jednoczesnym wyświetleniem obrazów wybranego badania bez możliwości dalszego wyszukiwania (innych) badań</w:t>
      </w:r>
      <w:r>
        <w:t>.</w:t>
      </w:r>
    </w:p>
    <w:p w14:paraId="2B1C32C3" w14:textId="77777777" w:rsidR="005A599F" w:rsidRDefault="005A599F" w:rsidP="005A599F">
      <w:pPr>
        <w:pStyle w:val="Akapitzlist"/>
      </w:pPr>
    </w:p>
    <w:p w14:paraId="7484095B" w14:textId="792D89EF" w:rsidR="007715C0" w:rsidRPr="007715C0" w:rsidRDefault="007715C0" w:rsidP="007715C0">
      <w:pPr>
        <w:rPr>
          <w:b/>
        </w:rPr>
      </w:pPr>
      <w:r w:rsidRPr="007715C0">
        <w:rPr>
          <w:b/>
        </w:rPr>
        <w:t>Wymagania co do szkoleń administratorów</w:t>
      </w:r>
    </w:p>
    <w:p w14:paraId="14ABE482" w14:textId="71C3AD0F" w:rsidR="00DA14A9" w:rsidRPr="007715C0" w:rsidRDefault="006048B1" w:rsidP="00B75E7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670F3E">
        <w:t>Oferent musi zapewnić szkolenie dla adm</w:t>
      </w:r>
      <w:r w:rsidR="00920671" w:rsidRPr="00670F3E">
        <w:t>inistratorów w zakresie dostarczonego rozwiązania (hardware + software) w wymiarze min. 1</w:t>
      </w:r>
      <w:r w:rsidR="00115D48">
        <w:t>4</w:t>
      </w:r>
      <w:r w:rsidR="00920671" w:rsidRPr="00670F3E">
        <w:t xml:space="preserve">h podzielone na min. 2 dni robocze  </w:t>
      </w:r>
    </w:p>
    <w:p w14:paraId="74BA30AD" w14:textId="77777777" w:rsidR="007715C0" w:rsidRPr="007715C0" w:rsidRDefault="007715C0" w:rsidP="007715C0">
      <w:pPr>
        <w:pStyle w:val="Akapitzlist"/>
        <w:rPr>
          <w:rFonts w:asciiTheme="majorHAnsi" w:hAnsiTheme="majorHAnsi" w:cstheme="majorHAnsi"/>
        </w:rPr>
      </w:pPr>
    </w:p>
    <w:p w14:paraId="2D0994D6" w14:textId="1A9ADDC6" w:rsidR="005A599F" w:rsidRPr="005A599F" w:rsidRDefault="005A599F" w:rsidP="00431C66">
      <w:pPr>
        <w:jc w:val="both"/>
        <w:rPr>
          <w:rStyle w:val="Pogrubienie"/>
        </w:rPr>
      </w:pPr>
      <w:r w:rsidRPr="005A599F">
        <w:rPr>
          <w:rStyle w:val="Pogrubienie"/>
        </w:rPr>
        <w:t>Wymagania co do gwarancji</w:t>
      </w:r>
      <w:r w:rsidR="00F00BC2">
        <w:rPr>
          <w:rStyle w:val="Pogrubienie"/>
        </w:rPr>
        <w:t xml:space="preserve"> i serwisu</w:t>
      </w:r>
    </w:p>
    <w:p w14:paraId="284C3158" w14:textId="1532FCCC" w:rsidR="00431C66" w:rsidRDefault="00431C66" w:rsidP="007715C0">
      <w:pPr>
        <w:pStyle w:val="Akapitzlist"/>
        <w:numPr>
          <w:ilvl w:val="0"/>
          <w:numId w:val="1"/>
        </w:numPr>
      </w:pPr>
      <w:r>
        <w:t>Wykonawca udzieli Zamawiającemu gwarancji na cały Przedmiot Zamówienia.</w:t>
      </w:r>
    </w:p>
    <w:p w14:paraId="20144FB6" w14:textId="73220C88" w:rsidR="005A599F" w:rsidRDefault="005A599F" w:rsidP="005A599F">
      <w:pPr>
        <w:pStyle w:val="Akapitzlist"/>
        <w:numPr>
          <w:ilvl w:val="0"/>
          <w:numId w:val="1"/>
        </w:numPr>
      </w:pPr>
      <w:r>
        <w:t xml:space="preserve">Zamawiający wymaga, aby dostarczony System działał wraz z integracjami przez 365 dni w roku, 24 godziny na dobę. </w:t>
      </w:r>
    </w:p>
    <w:p w14:paraId="6018DC00" w14:textId="58694C4D" w:rsidR="005A599F" w:rsidRDefault="005A599F" w:rsidP="005A599F">
      <w:pPr>
        <w:pStyle w:val="Akapitzlist"/>
        <w:numPr>
          <w:ilvl w:val="0"/>
          <w:numId w:val="1"/>
        </w:numPr>
      </w:pPr>
      <w:r>
        <w:t>W okresie świadczenia usług serwisu gwarancyjnego Wykonawca gwarantuje naprawę błędów w trybie pracy 24h na dobę łącznie z dniami ustawowo wolnymi od pracy na terenie Rzeczypospolitej Polskiej.</w:t>
      </w:r>
    </w:p>
    <w:p w14:paraId="5AA10F05" w14:textId="3F855BCD" w:rsidR="005A599F" w:rsidRDefault="005A599F" w:rsidP="005A599F">
      <w:pPr>
        <w:pStyle w:val="Akapitzlist"/>
        <w:numPr>
          <w:ilvl w:val="0"/>
          <w:numId w:val="1"/>
        </w:numPr>
      </w:pPr>
      <w:r w:rsidRPr="005A599F">
        <w:t>Definicje błędów:</w:t>
      </w:r>
    </w:p>
    <w:p w14:paraId="7A1F940C" w14:textId="3AF29700" w:rsidR="005A599F" w:rsidRDefault="005A599F" w:rsidP="005A599F">
      <w:pPr>
        <w:pStyle w:val="Akapitzlist"/>
        <w:numPr>
          <w:ilvl w:val="1"/>
          <w:numId w:val="1"/>
        </w:numPr>
      </w:pPr>
      <w:r w:rsidRPr="005A599F">
        <w:t>Błąd krytyczny: błąd, w wyniku którego niemożliwe jest użytkowanie Systemu w zakresie jego funkcjonalności wskazanej w dokumentacji użytkownika, a w szczególności nieprawidłowe działanie Systemu, w wyniku którego następuje zatrzymanie pracy Systemu lub modułu lub niedostępne są istotne funkcje Systemu niezbędne do realizacji celów i zadań Zamawiającego (np. brak możliwości pobrania obrazów z zasobów VNA) lub System utracił dane lub wystąpiły zaburzenia ich integralności, do zastąpienia wadliwej funkcjonalności wymagana jest praca manualna.</w:t>
      </w:r>
    </w:p>
    <w:p w14:paraId="0797AB67" w14:textId="28901ECB" w:rsidR="005A599F" w:rsidRDefault="005A599F" w:rsidP="005A599F">
      <w:pPr>
        <w:pStyle w:val="Akapitzlist"/>
        <w:numPr>
          <w:ilvl w:val="1"/>
          <w:numId w:val="1"/>
        </w:numPr>
      </w:pPr>
      <w:r w:rsidRPr="005A599F">
        <w:t>Błąd istotny: działanie Systemu niezgodne z wymaganiami wynikającymi z Umowy, w tym dotyczącymi bezpieczeństwa, mające wpływ na poprawne funkcjonowanie Systemu lub jego składowych, odbiegające od standardowego, opisanego w dokumentacji Systemu, spowodowane błędem oprogramowania lub wadą prac serwisowych/konfiguracyjnych. Błąd istotny to błąd zakłócający rutynową eksploatację Systemu i czynności w pracy bezpośrednich użytkowników - rutynowa eksploatacja Systemu wprawdzie jest możliwa, ale wiąże się z utrudnieniami dla użytkownika (np. spowolnienie reakcji systemu przy otwieraniu okna, zapisywaniu dokumentu, podpisywaniu dokumentu).</w:t>
      </w:r>
    </w:p>
    <w:p w14:paraId="3BFA16D5" w14:textId="6768D11F" w:rsidR="005A599F" w:rsidRDefault="005A599F" w:rsidP="005A599F">
      <w:pPr>
        <w:pStyle w:val="Akapitzlist"/>
        <w:numPr>
          <w:ilvl w:val="1"/>
          <w:numId w:val="1"/>
        </w:numPr>
      </w:pPr>
      <w:r w:rsidRPr="005A599F">
        <w:t xml:space="preserve">Błąd zwykły: błąd nie będący Błędem krytycznym ani istotnym. Stan Systemu, mający wpływ na poprawne funkcjonowanie Systemu lub jego składowych, odbiegający od założeń funkcjonowania Systemu, niezakłócający rutynowej eksploatacji Systemu i czynności w pracy bezpośrednich użytkowników - rutynowa eksploatacja Systemu jest możliwa, ale wiąże się z drobnymi utrudnieniami dla użytkownika (np. </w:t>
      </w:r>
      <w:r w:rsidRPr="005A599F">
        <w:lastRenderedPageBreak/>
        <w:t xml:space="preserve">wizualizacja dokumentu zawierająca wszystkie wymagane dane ale nieprawidłowo sformatowana;  pojawiający się komunikat ostrzegawczy, który </w:t>
      </w:r>
      <w:r>
        <w:t>nie blokuje funkcjonalności, i</w:t>
      </w:r>
      <w:r w:rsidRPr="005A599F">
        <w:t>tp.).</w:t>
      </w:r>
    </w:p>
    <w:p w14:paraId="0E76F53F" w14:textId="77777777" w:rsidR="005A599F" w:rsidRDefault="005A599F" w:rsidP="005A599F">
      <w:pPr>
        <w:pStyle w:val="Akapitzlist"/>
        <w:numPr>
          <w:ilvl w:val="0"/>
          <w:numId w:val="1"/>
        </w:numPr>
      </w:pPr>
      <w:r>
        <w:rPr>
          <w:rFonts w:cstheme="minorHAnsi"/>
        </w:rPr>
        <w:t>Zamawiający określa kategorię błędu, zgodnie ze wskazaną powyżej definicją  w momencie dokonywania zgłoszenia oraz może dokonać jej zmiany na uzasadniony wniosek Wykonawcy.</w:t>
      </w:r>
    </w:p>
    <w:p w14:paraId="1791A243" w14:textId="507A173F" w:rsidR="005A599F" w:rsidRDefault="005A599F" w:rsidP="005A599F">
      <w:pPr>
        <w:pStyle w:val="Akapitzlist"/>
        <w:numPr>
          <w:ilvl w:val="0"/>
          <w:numId w:val="1"/>
        </w:numPr>
      </w:pPr>
      <w:r>
        <w:t xml:space="preserve">W okresie świadczenia usług serwisu gwarancyjnego Wykonawca gwarantuje poniższe terminy naprawy błędów (czas naprawy błędu to czas liczony od momentu  zgłoszenia przez Zamawiającego o zaistnieniu błędu  do czasu dostarczenia oraz zainstalowania  poprawki w środowisku produkcyjnym Zamawiającego lub wskazania skutecznego obejścia.) </w:t>
      </w:r>
    </w:p>
    <w:p w14:paraId="490A927F" w14:textId="0DD4E33F" w:rsidR="005A599F" w:rsidRDefault="005A599F" w:rsidP="005A599F">
      <w:pPr>
        <w:ind w:left="360" w:firstLine="633"/>
      </w:pPr>
      <w:r>
        <w:t xml:space="preserve">Status zgłoszenia </w:t>
      </w:r>
      <w:r>
        <w:tab/>
        <w:t>Maksymalny czas reakcji            Maksymalny czas naprawy</w:t>
      </w:r>
    </w:p>
    <w:p w14:paraId="35A2E7C8" w14:textId="645C67BB" w:rsidR="005A599F" w:rsidRDefault="005A599F" w:rsidP="005A599F">
      <w:pPr>
        <w:ind w:left="360" w:firstLine="633"/>
      </w:pPr>
      <w:r>
        <w:t>Błąd krytyczny</w:t>
      </w:r>
      <w:r>
        <w:tab/>
        <w:t xml:space="preserve"> </w:t>
      </w:r>
      <w:r w:rsidR="00DB3515">
        <w:t>…..</w:t>
      </w:r>
      <w:r>
        <w:t xml:space="preserve"> godziny                                    </w:t>
      </w:r>
      <w:r w:rsidR="00DB3515">
        <w:t>….</w:t>
      </w:r>
      <w:r>
        <w:t xml:space="preserve"> godziny     </w:t>
      </w:r>
    </w:p>
    <w:p w14:paraId="45A2AEBC" w14:textId="117FE0B0" w:rsidR="005A599F" w:rsidRDefault="005A599F" w:rsidP="005A599F">
      <w:pPr>
        <w:ind w:left="360" w:firstLine="633"/>
      </w:pPr>
      <w:r>
        <w:t>Błąd istotny</w:t>
      </w:r>
      <w:r>
        <w:tab/>
        <w:t xml:space="preserve">              </w:t>
      </w:r>
      <w:r w:rsidR="00DB3515">
        <w:t>…..</w:t>
      </w:r>
      <w:r>
        <w:t xml:space="preserve"> godziny                                     </w:t>
      </w:r>
      <w:r w:rsidR="00DB3515">
        <w:t xml:space="preserve">…. </w:t>
      </w:r>
      <w:r>
        <w:t>dni robocze</w:t>
      </w:r>
    </w:p>
    <w:p w14:paraId="3DA15C96" w14:textId="5AB3D494" w:rsidR="005A599F" w:rsidRDefault="005A599F" w:rsidP="005A599F">
      <w:pPr>
        <w:ind w:left="360" w:firstLine="633"/>
      </w:pPr>
      <w:r>
        <w:t>Błąd zwykły</w:t>
      </w:r>
      <w:r>
        <w:tab/>
        <w:t xml:space="preserve">              </w:t>
      </w:r>
      <w:r w:rsidR="00DB3515">
        <w:t>…..</w:t>
      </w:r>
      <w:r>
        <w:t xml:space="preserve"> dni                </w:t>
      </w:r>
      <w:r w:rsidR="00DB3515">
        <w:t xml:space="preserve">                             ….</w:t>
      </w:r>
      <w:r>
        <w:t xml:space="preserve"> dni roboczych</w:t>
      </w:r>
    </w:p>
    <w:p w14:paraId="62A85C29" w14:textId="6FE48076" w:rsidR="005A599F" w:rsidRDefault="005A599F" w:rsidP="005A599F">
      <w:pPr>
        <w:pStyle w:val="Akapitzlist"/>
        <w:numPr>
          <w:ilvl w:val="0"/>
          <w:numId w:val="1"/>
        </w:numPr>
      </w:pPr>
      <w:r>
        <w:rPr>
          <w:rFonts w:cstheme="minorHAnsi"/>
        </w:rPr>
        <w:t>Wykonawca zobowiązuje się do naprawy błędów w sposób zapobiegający utracie jakichkolwiek danych. W przypadku, gdy wykonanie naprawy błędu wiąże się z ryzykiem utraty danych, Wykonawca jest zobowiązany poinformować Zamawiającego o tym przed przystąpieniem do wykonania naprawy błędu.</w:t>
      </w:r>
    </w:p>
    <w:p w14:paraId="18F39888" w14:textId="35C506F3" w:rsidR="005A599F" w:rsidRDefault="005A599F" w:rsidP="005A599F">
      <w:pPr>
        <w:pStyle w:val="Akapitzlist"/>
        <w:numPr>
          <w:ilvl w:val="0"/>
          <w:numId w:val="1"/>
        </w:numPr>
      </w:pPr>
      <w:r>
        <w:t>Oferent gwarantuje w okresie trwania umowy bezpłatne dostosowywanie</w:t>
      </w:r>
      <w:r w:rsidRPr="005A599F">
        <w:t xml:space="preserve"> oprogramowania do wymogów prawa</w:t>
      </w:r>
      <w:r>
        <w:t>.</w:t>
      </w:r>
    </w:p>
    <w:p w14:paraId="6E5A84A3" w14:textId="423AAB07" w:rsidR="005A599F" w:rsidRPr="00F00BC2" w:rsidRDefault="005A599F" w:rsidP="005A599F">
      <w:pPr>
        <w:pStyle w:val="Akapitzlist"/>
        <w:numPr>
          <w:ilvl w:val="0"/>
          <w:numId w:val="1"/>
        </w:numPr>
      </w:pPr>
      <w:r>
        <w:rPr>
          <w:rFonts w:cstheme="minorHAnsi"/>
        </w:rPr>
        <w:t>W okresie gwarancyjnym wszelkie koszty związane z serwisem gwarancyjnym ponosi Wykonawca.</w:t>
      </w:r>
    </w:p>
    <w:p w14:paraId="5FC00AED" w14:textId="55447A0D" w:rsidR="00F00BC2" w:rsidRDefault="00F00BC2" w:rsidP="005A599F">
      <w:pPr>
        <w:pStyle w:val="Akapitzlist"/>
        <w:numPr>
          <w:ilvl w:val="0"/>
          <w:numId w:val="1"/>
        </w:numPr>
      </w:pPr>
      <w:r>
        <w:rPr>
          <w:rFonts w:cstheme="minorHAnsi"/>
        </w:rPr>
        <w:t>Wykonawca zapewni możliwość monitoringu całej infrastruktury dla administratorów.</w:t>
      </w:r>
    </w:p>
    <w:p w14:paraId="70596F22" w14:textId="77777777" w:rsidR="005A599F" w:rsidRDefault="005A599F" w:rsidP="005A599F"/>
    <w:p w14:paraId="0E0DC7E7" w14:textId="0A4B87E0" w:rsidR="00431C66" w:rsidRPr="00402FDF" w:rsidRDefault="00402FDF" w:rsidP="00431C66">
      <w:pPr>
        <w:rPr>
          <w:rStyle w:val="Pogrubienie"/>
        </w:rPr>
      </w:pPr>
      <w:r w:rsidRPr="00402FDF">
        <w:rPr>
          <w:rStyle w:val="Pogrubienie"/>
        </w:rPr>
        <w:t>Wymagania co do instalacji i konfiguracji systemu</w:t>
      </w:r>
    </w:p>
    <w:p w14:paraId="0EA857F2" w14:textId="5AB4C1BC" w:rsidR="00402FDF" w:rsidRDefault="00402FDF" w:rsidP="00402FDF">
      <w:pPr>
        <w:pStyle w:val="Akapitzlist"/>
        <w:numPr>
          <w:ilvl w:val="0"/>
          <w:numId w:val="1"/>
        </w:numPr>
      </w:pPr>
      <w:r w:rsidRPr="00402FDF">
        <w:t>Usługa polega na instalacji dostarczonego systemu wraz z oprogramowaniem systemowym oraz migracji danych z aktualnie wykorzystywanego systemu PACS Zamawiającego na sprzęt oraz oprogramowanie dostarczone w ramach realizacji niniejszego zamówienia.</w:t>
      </w:r>
    </w:p>
    <w:p w14:paraId="3F84171D" w14:textId="7DC15E18" w:rsidR="00402FDF" w:rsidRDefault="00402FDF" w:rsidP="00402FDF">
      <w:pPr>
        <w:pStyle w:val="Akapitzlist"/>
        <w:numPr>
          <w:ilvl w:val="0"/>
          <w:numId w:val="1"/>
        </w:numPr>
      </w:pPr>
      <w:r w:rsidRPr="00402FDF">
        <w:t>Wykonawca dokona wspólnie z Zamawiającym instalacji i konfiguracji sprzętu dostarczonego w ramach zamówienia  zgodnie z opracowanym w terminie do 14 dni po podpisaniu umowy przez Wykonawcę i zaakceptowanym przez Zamawiającego w terminie 7 dni harmonogramem prac/planem wdrożenia wraz z procedurami bezpieczeństwa</w:t>
      </w:r>
      <w:r w:rsidR="00DB3515">
        <w:t xml:space="preserve">, zaakceptowanymi przez Sekcję </w:t>
      </w:r>
      <w:proofErr w:type="spellStart"/>
      <w:r w:rsidR="00DB3515">
        <w:t>Cyberbezpieczeństwa</w:t>
      </w:r>
      <w:proofErr w:type="spellEnd"/>
      <w:r w:rsidR="00DB3515">
        <w:t xml:space="preserve"> Zamawiającego.</w:t>
      </w:r>
    </w:p>
    <w:p w14:paraId="1DDCD3FE" w14:textId="1E5DDAD0" w:rsidR="00402FDF" w:rsidRDefault="00402FDF" w:rsidP="00402FDF">
      <w:pPr>
        <w:pStyle w:val="Akapitzlist"/>
        <w:numPr>
          <w:ilvl w:val="0"/>
          <w:numId w:val="1"/>
        </w:numPr>
      </w:pPr>
      <w:r>
        <w:t>Wykonawca dokona wspólnie z Zamawiającym instalacji i konfiguracji oprogramowania do</w:t>
      </w:r>
      <w:r w:rsidR="00CE5009">
        <w:t>starczonego w ramach zamówienia</w:t>
      </w:r>
      <w:r>
        <w:t xml:space="preserve"> z uwzględnieniem:</w:t>
      </w:r>
    </w:p>
    <w:p w14:paraId="3BBD7145" w14:textId="291565D3" w:rsidR="00402FDF" w:rsidRDefault="00402FDF" w:rsidP="00402FDF">
      <w:pPr>
        <w:pStyle w:val="Akapitzlist"/>
        <w:numPr>
          <w:ilvl w:val="1"/>
          <w:numId w:val="1"/>
        </w:numPr>
      </w:pPr>
      <w:r>
        <w:t xml:space="preserve">konfiguracji klastra zapewniającego wysoką dostępność do danych w obu lokalizacjach – klaster powinien zostać tak skonfigurowany, aby jakakolwiek przerwa w działaniu systemu w jednej lokalizacji wywołała przełączenie się pracy na drugą lokalizację tak aby maksymalnie zminimalizować przerwy w działaniu systemu, </w:t>
      </w:r>
    </w:p>
    <w:p w14:paraId="6DAF2E2B" w14:textId="77777777" w:rsidR="00402FDF" w:rsidRDefault="00402FDF" w:rsidP="00402FDF">
      <w:pPr>
        <w:pStyle w:val="Akapitzlist"/>
        <w:numPr>
          <w:ilvl w:val="1"/>
          <w:numId w:val="1"/>
        </w:numPr>
      </w:pPr>
      <w:r>
        <w:t>integracji z wymaganymi systemami</w:t>
      </w:r>
    </w:p>
    <w:p w14:paraId="177592FE" w14:textId="77777777" w:rsidR="00402FDF" w:rsidRDefault="00402FDF" w:rsidP="00402FDF">
      <w:pPr>
        <w:pStyle w:val="Akapitzlist"/>
        <w:numPr>
          <w:ilvl w:val="1"/>
          <w:numId w:val="1"/>
        </w:numPr>
      </w:pPr>
      <w:r>
        <w:t>konfiguracji kopii bezpieczeństwa wraz z procedurą jej odtwarzania</w:t>
      </w:r>
    </w:p>
    <w:p w14:paraId="382236B9" w14:textId="0F10B252" w:rsidR="00402FDF" w:rsidRPr="00402FDF" w:rsidRDefault="00402FDF" w:rsidP="00402FDF">
      <w:pPr>
        <w:pStyle w:val="Akapitzlist"/>
        <w:numPr>
          <w:ilvl w:val="0"/>
          <w:numId w:val="1"/>
        </w:numPr>
      </w:pPr>
      <w:r w:rsidRPr="00402FDF">
        <w:t xml:space="preserve">Wykonawca wykona aktualizację sprzętu (oprogramowania układowego tzw. </w:t>
      </w:r>
      <w:proofErr w:type="spellStart"/>
      <w:r w:rsidRPr="00402FDF">
        <w:t>firmware</w:t>
      </w:r>
      <w:proofErr w:type="spellEnd"/>
      <w:r w:rsidRPr="00402FDF">
        <w:t xml:space="preserve">), dostarczonych systemów operacyjnych oraz aplikacji pod względem opublikowanych podatności przez producentów danego sprzętu/systemu. Aktualizacja systemów powinna się odbywać przy współpracy z </w:t>
      </w:r>
      <w:r w:rsidR="00DB3515">
        <w:t xml:space="preserve">Sekcją </w:t>
      </w:r>
      <w:proofErr w:type="spellStart"/>
      <w:r w:rsidR="00DB3515">
        <w:t>Cyberbezpieczeństwa</w:t>
      </w:r>
      <w:proofErr w:type="spellEnd"/>
      <w:r w:rsidR="00DB3515">
        <w:t xml:space="preserve"> Zamawiającego</w:t>
      </w:r>
      <w:r>
        <w:t>.</w:t>
      </w:r>
    </w:p>
    <w:p w14:paraId="0635CB14" w14:textId="2EB776A3" w:rsidR="00402FDF" w:rsidRDefault="00402FDF" w:rsidP="00CE4F09">
      <w:pPr>
        <w:pStyle w:val="Akapitzlist"/>
        <w:numPr>
          <w:ilvl w:val="0"/>
          <w:numId w:val="1"/>
        </w:numPr>
      </w:pPr>
      <w:r>
        <w:lastRenderedPageBreak/>
        <w:t>Wykonawca dokona testowania oprogramowania w nowym środowisku Zamawiającego ze szczególnym uwzględnieniem</w:t>
      </w:r>
      <w:r w:rsidR="00CE4F09">
        <w:t xml:space="preserve"> </w:t>
      </w:r>
      <w:r>
        <w:t>konfiguracji klastra  (kontrolowane wyłączenie dowolnego z serwerów pracujących w klastrze nie powinno spowodować problemów z dostępem do baz danych</w:t>
      </w:r>
      <w:r w:rsidR="00CE4F09">
        <w:t xml:space="preserve"> oraz danych obrazowych</w:t>
      </w:r>
      <w:r>
        <w:t>)</w:t>
      </w:r>
      <w:r w:rsidR="00CE4F09">
        <w:t>.</w:t>
      </w:r>
    </w:p>
    <w:p w14:paraId="04EAE291" w14:textId="77777777" w:rsidR="00402FDF" w:rsidRDefault="00402FDF" w:rsidP="00402FDF">
      <w:pPr>
        <w:pStyle w:val="Akapitzlist"/>
        <w:numPr>
          <w:ilvl w:val="0"/>
          <w:numId w:val="1"/>
        </w:numPr>
      </w:pPr>
      <w:r>
        <w:t>Wykonawca dostarczy pełną dokumentację powdrożeniową  zastosowanej/wdrożonej konfiguracji nowego środowiska zawierającą:</w:t>
      </w:r>
    </w:p>
    <w:p w14:paraId="420281A2" w14:textId="77777777" w:rsidR="00402FDF" w:rsidRDefault="00402FDF" w:rsidP="00402FDF">
      <w:pPr>
        <w:pStyle w:val="Akapitzlist"/>
        <w:numPr>
          <w:ilvl w:val="1"/>
          <w:numId w:val="1"/>
        </w:numPr>
      </w:pPr>
      <w:r>
        <w:t xml:space="preserve">opis konfiguracji całego systemu wraz z integracjami </w:t>
      </w:r>
    </w:p>
    <w:p w14:paraId="7533FD17" w14:textId="77777777" w:rsidR="00402FDF" w:rsidRDefault="00402FDF" w:rsidP="00402FDF">
      <w:pPr>
        <w:pStyle w:val="Akapitzlist"/>
        <w:numPr>
          <w:ilvl w:val="1"/>
          <w:numId w:val="1"/>
        </w:numPr>
      </w:pPr>
      <w:r>
        <w:t>instrukcję postepowania w przypadku awarii systemu – procedurę przywracania kopii zapasowych konfiguracji systemu</w:t>
      </w:r>
    </w:p>
    <w:p w14:paraId="1CE0A737" w14:textId="07CE1AE0" w:rsidR="00402FDF" w:rsidRDefault="00402FDF" w:rsidP="00402FDF">
      <w:pPr>
        <w:pStyle w:val="Akapitzlist"/>
        <w:numPr>
          <w:ilvl w:val="1"/>
          <w:numId w:val="1"/>
        </w:numPr>
      </w:pPr>
      <w:r>
        <w:t>instrukcje administrowania nowym środowiskiem</w:t>
      </w:r>
    </w:p>
    <w:p w14:paraId="63DB4C50" w14:textId="0E95B342" w:rsidR="00431C66" w:rsidRDefault="00402FDF" w:rsidP="00402FDF">
      <w:pPr>
        <w:pStyle w:val="Akapitzlist"/>
        <w:numPr>
          <w:ilvl w:val="0"/>
          <w:numId w:val="1"/>
        </w:numPr>
      </w:pPr>
      <w:r w:rsidRPr="00402FDF">
        <w:t>Wykonawca dokona wzorcowej instalacji/konfiguracji oprogramowania klienckiego na wskazanej stacji roboczej oraz dostarczy instrukcję instalacji dla administratora</w:t>
      </w:r>
      <w:r>
        <w:t>.</w:t>
      </w:r>
    </w:p>
    <w:sectPr w:rsidR="00431C66" w:rsidSect="00B27E1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4B4B2" w14:textId="77777777" w:rsidR="002D3CDA" w:rsidRDefault="002D3CDA" w:rsidP="002D3CDA">
      <w:pPr>
        <w:spacing w:after="0" w:line="240" w:lineRule="auto"/>
      </w:pPr>
      <w:r>
        <w:separator/>
      </w:r>
    </w:p>
  </w:endnote>
  <w:endnote w:type="continuationSeparator" w:id="0">
    <w:p w14:paraId="671D3D1D" w14:textId="77777777" w:rsidR="002D3CDA" w:rsidRDefault="002D3CDA" w:rsidP="002D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19004" w14:textId="77777777" w:rsidR="002D3CDA" w:rsidRDefault="002D3CDA" w:rsidP="002D3CDA">
      <w:pPr>
        <w:spacing w:after="0" w:line="240" w:lineRule="auto"/>
      </w:pPr>
      <w:r>
        <w:separator/>
      </w:r>
    </w:p>
  </w:footnote>
  <w:footnote w:type="continuationSeparator" w:id="0">
    <w:p w14:paraId="4C3FACCA" w14:textId="77777777" w:rsidR="002D3CDA" w:rsidRDefault="002D3CDA" w:rsidP="002D3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33DB"/>
    <w:multiLevelType w:val="hybridMultilevel"/>
    <w:tmpl w:val="93F6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650E"/>
    <w:multiLevelType w:val="hybridMultilevel"/>
    <w:tmpl w:val="3EAE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1EC"/>
    <w:multiLevelType w:val="multilevel"/>
    <w:tmpl w:val="47B695F2"/>
    <w:lvl w:ilvl="0">
      <w:start w:val="1"/>
      <w:numFmt w:val="decimal"/>
      <w:lvlText w:val="%1)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3630" w:hanging="390"/>
      </w:pPr>
    </w:lvl>
    <w:lvl w:ilvl="2">
      <w:start w:val="1"/>
      <w:numFmt w:val="decimal"/>
      <w:lvlText w:val="%3)"/>
      <w:lvlJc w:val="left"/>
      <w:pPr>
        <w:ind w:left="4500" w:hanging="36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E0C455A"/>
    <w:multiLevelType w:val="multilevel"/>
    <w:tmpl w:val="8E76A640"/>
    <w:lvl w:ilvl="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3630" w:hanging="390"/>
      </w:pPr>
    </w:lvl>
    <w:lvl w:ilvl="2">
      <w:start w:val="1"/>
      <w:numFmt w:val="decimal"/>
      <w:lvlText w:val="%3)"/>
      <w:lvlJc w:val="left"/>
      <w:pPr>
        <w:ind w:left="4500" w:hanging="36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0B6A00"/>
    <w:multiLevelType w:val="hybridMultilevel"/>
    <w:tmpl w:val="7F742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31B1"/>
    <w:multiLevelType w:val="hybridMultilevel"/>
    <w:tmpl w:val="1384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A0BBB"/>
    <w:multiLevelType w:val="hybridMultilevel"/>
    <w:tmpl w:val="57ACE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16B84"/>
    <w:multiLevelType w:val="hybridMultilevel"/>
    <w:tmpl w:val="AE021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84244"/>
    <w:multiLevelType w:val="hybridMultilevel"/>
    <w:tmpl w:val="3340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83495"/>
    <w:multiLevelType w:val="hybridMultilevel"/>
    <w:tmpl w:val="017404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9E2D9F"/>
    <w:multiLevelType w:val="multilevel"/>
    <w:tmpl w:val="5F32622C"/>
    <w:lvl w:ilvl="0">
      <w:start w:val="5"/>
      <w:numFmt w:val="decimal"/>
      <w:lvlText w:val="%1)"/>
      <w:lvlJc w:val="left"/>
      <w:pPr>
        <w:ind w:left="75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3489" w:hanging="390"/>
      </w:pPr>
    </w:lvl>
    <w:lvl w:ilvl="2">
      <w:start w:val="1"/>
      <w:numFmt w:val="decimal"/>
      <w:lvlText w:val="%3)"/>
      <w:lvlJc w:val="left"/>
      <w:pPr>
        <w:ind w:left="4359" w:hanging="360"/>
      </w:pPr>
    </w:lvl>
    <w:lvl w:ilvl="3">
      <w:start w:val="1"/>
      <w:numFmt w:val="decimal"/>
      <w:lvlText w:val="%4."/>
      <w:lvlJc w:val="left"/>
      <w:pPr>
        <w:ind w:left="4899" w:hanging="360"/>
      </w:pPr>
    </w:lvl>
    <w:lvl w:ilvl="4">
      <w:start w:val="1"/>
      <w:numFmt w:val="lowerLetter"/>
      <w:lvlText w:val="%5."/>
      <w:lvlJc w:val="left"/>
      <w:pPr>
        <w:ind w:left="5619" w:hanging="360"/>
      </w:pPr>
    </w:lvl>
    <w:lvl w:ilvl="5">
      <w:start w:val="1"/>
      <w:numFmt w:val="lowerRoman"/>
      <w:lvlText w:val="%6."/>
      <w:lvlJc w:val="right"/>
      <w:pPr>
        <w:ind w:left="6339" w:hanging="180"/>
      </w:pPr>
    </w:lvl>
    <w:lvl w:ilvl="6">
      <w:start w:val="1"/>
      <w:numFmt w:val="decimal"/>
      <w:lvlText w:val="%7."/>
      <w:lvlJc w:val="left"/>
      <w:pPr>
        <w:ind w:left="7059" w:hanging="360"/>
      </w:pPr>
    </w:lvl>
    <w:lvl w:ilvl="7">
      <w:start w:val="1"/>
      <w:numFmt w:val="lowerLetter"/>
      <w:lvlText w:val="%8."/>
      <w:lvlJc w:val="left"/>
      <w:pPr>
        <w:ind w:left="7779" w:hanging="360"/>
      </w:pPr>
    </w:lvl>
    <w:lvl w:ilvl="8">
      <w:start w:val="1"/>
      <w:numFmt w:val="lowerRoman"/>
      <w:lvlText w:val="%9."/>
      <w:lvlJc w:val="right"/>
      <w:pPr>
        <w:ind w:left="8499" w:hanging="180"/>
      </w:pPr>
    </w:lvl>
  </w:abstractNum>
  <w:abstractNum w:abstractNumId="11" w15:restartNumberingAfterBreak="0">
    <w:nsid w:val="6B417648"/>
    <w:multiLevelType w:val="hybridMultilevel"/>
    <w:tmpl w:val="1570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30DBC"/>
    <w:multiLevelType w:val="hybridMultilevel"/>
    <w:tmpl w:val="305200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6A787A"/>
    <w:multiLevelType w:val="hybridMultilevel"/>
    <w:tmpl w:val="65B09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92B0D"/>
    <w:multiLevelType w:val="hybridMultilevel"/>
    <w:tmpl w:val="9456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74E10"/>
    <w:multiLevelType w:val="hybridMultilevel"/>
    <w:tmpl w:val="1384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27D86"/>
    <w:multiLevelType w:val="hybridMultilevel"/>
    <w:tmpl w:val="A3E28D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"/>
  </w:num>
  <w:num w:numId="14">
    <w:abstractNumId w:val="15"/>
  </w:num>
  <w:num w:numId="15">
    <w:abstractNumId w:val="6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EF"/>
    <w:rsid w:val="00003F5B"/>
    <w:rsid w:val="0002351E"/>
    <w:rsid w:val="000A36F3"/>
    <w:rsid w:val="000B426E"/>
    <w:rsid w:val="000B644A"/>
    <w:rsid w:val="000E0745"/>
    <w:rsid w:val="00115D48"/>
    <w:rsid w:val="0013558D"/>
    <w:rsid w:val="0018746F"/>
    <w:rsid w:val="001B60B0"/>
    <w:rsid w:val="001D64D2"/>
    <w:rsid w:val="002D276A"/>
    <w:rsid w:val="002D3CDA"/>
    <w:rsid w:val="00344B3D"/>
    <w:rsid w:val="00351FEC"/>
    <w:rsid w:val="003A00EF"/>
    <w:rsid w:val="003A0BCA"/>
    <w:rsid w:val="003B6B55"/>
    <w:rsid w:val="00402FDF"/>
    <w:rsid w:val="00431C66"/>
    <w:rsid w:val="005143C0"/>
    <w:rsid w:val="00523337"/>
    <w:rsid w:val="005A599F"/>
    <w:rsid w:val="006048B1"/>
    <w:rsid w:val="006204F4"/>
    <w:rsid w:val="00670F3E"/>
    <w:rsid w:val="006C3874"/>
    <w:rsid w:val="006F60EB"/>
    <w:rsid w:val="007715C0"/>
    <w:rsid w:val="007901C2"/>
    <w:rsid w:val="007B6A33"/>
    <w:rsid w:val="008027F8"/>
    <w:rsid w:val="0081740F"/>
    <w:rsid w:val="00846C01"/>
    <w:rsid w:val="00862E88"/>
    <w:rsid w:val="00880E96"/>
    <w:rsid w:val="00920671"/>
    <w:rsid w:val="0092115C"/>
    <w:rsid w:val="0092724D"/>
    <w:rsid w:val="00972FD6"/>
    <w:rsid w:val="00990816"/>
    <w:rsid w:val="009B736A"/>
    <w:rsid w:val="00A03F39"/>
    <w:rsid w:val="00A04EA4"/>
    <w:rsid w:val="00A056A7"/>
    <w:rsid w:val="00A07D71"/>
    <w:rsid w:val="00A239C4"/>
    <w:rsid w:val="00A3529C"/>
    <w:rsid w:val="00A84594"/>
    <w:rsid w:val="00A87257"/>
    <w:rsid w:val="00B27E1E"/>
    <w:rsid w:val="00B53F91"/>
    <w:rsid w:val="00BD09DC"/>
    <w:rsid w:val="00C07D3C"/>
    <w:rsid w:val="00C17270"/>
    <w:rsid w:val="00C339B3"/>
    <w:rsid w:val="00C702E7"/>
    <w:rsid w:val="00C7298A"/>
    <w:rsid w:val="00CA128A"/>
    <w:rsid w:val="00CD741E"/>
    <w:rsid w:val="00CE4F09"/>
    <w:rsid w:val="00CE5009"/>
    <w:rsid w:val="00D32D53"/>
    <w:rsid w:val="00DA14A9"/>
    <w:rsid w:val="00DA51C5"/>
    <w:rsid w:val="00DB3515"/>
    <w:rsid w:val="00E51648"/>
    <w:rsid w:val="00E97FC5"/>
    <w:rsid w:val="00EC2691"/>
    <w:rsid w:val="00EE7249"/>
    <w:rsid w:val="00F00BC2"/>
    <w:rsid w:val="00F33772"/>
    <w:rsid w:val="00F42F7F"/>
    <w:rsid w:val="00F463E5"/>
    <w:rsid w:val="00F465C2"/>
    <w:rsid w:val="00F9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D9D4"/>
  <w15:chartTrackingRefBased/>
  <w15:docId w15:val="{129938B3-F67A-4FD6-AFA5-BCA488F1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3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14A9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14A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BulletC,Numerowanie,List Paragraph,Akapit z listą BS,Kolorowa lista — akcent 11,Obiekt,Akapit z listą 1,Akapit z listą1,Wypunktowanie,normalny tekst,paragraf,L1,Akapit z listą5,RR PGE Akapit z listą,Styl 1,Citation List"/>
    <w:basedOn w:val="Normalny"/>
    <w:link w:val="AkapitzlistZnak"/>
    <w:uiPriority w:val="34"/>
    <w:qFormat/>
    <w:rsid w:val="00C339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C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C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CD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A14A9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14:ligatures w14:val="standardContextu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14A9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customStyle="1" w:styleId="AkapitzlistZnak">
    <w:name w:val="Akapit z listą Znak"/>
    <w:aliases w:val="List Paragraph1 Znak,BulletC Znak,Numerowanie Znak,List Paragraph Znak,Akapit z listą BS Znak,Kolorowa lista — akcent 11 Znak,Obiekt Znak,Akapit z listą 1 Znak,Akapit z listą1 Znak,Wypunktowanie Znak,normalny tekst Znak,paragraf Znak"/>
    <w:basedOn w:val="Domylnaczcionkaakapitu"/>
    <w:link w:val="Akapitzlist"/>
    <w:uiPriority w:val="34"/>
    <w:qFormat/>
    <w:locked/>
    <w:rsid w:val="00DA14A9"/>
  </w:style>
  <w:style w:type="paragraph" w:styleId="Bezodstpw">
    <w:name w:val="No Spacing"/>
    <w:uiPriority w:val="1"/>
    <w:qFormat/>
    <w:rsid w:val="00431C6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31C66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431C66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7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03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003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D962-22C6-482A-9B38-BC12A681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2113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Wojtaś</dc:creator>
  <cp:keywords/>
  <dc:description/>
  <cp:lastModifiedBy>Sylwia Komorek</cp:lastModifiedBy>
  <cp:revision>32</cp:revision>
  <cp:lastPrinted>2024-05-22T07:44:00Z</cp:lastPrinted>
  <dcterms:created xsi:type="dcterms:W3CDTF">2024-02-28T17:23:00Z</dcterms:created>
  <dcterms:modified xsi:type="dcterms:W3CDTF">2024-05-23T08:12:00Z</dcterms:modified>
</cp:coreProperties>
</file>