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1D8B" w14:textId="2C303566" w:rsidR="00743789" w:rsidRDefault="006B492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</w:t>
      </w:r>
      <w:r w:rsidR="00796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743789"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SWZ</w:t>
      </w:r>
    </w:p>
    <w:p w14:paraId="6345AE60" w14:textId="0CE72C25" w:rsidR="00D35033" w:rsidRPr="00E82CF9" w:rsidRDefault="00D35033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876C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umowy</w:t>
      </w:r>
    </w:p>
    <w:p w14:paraId="0AFA4D84" w14:textId="162A2969" w:rsidR="00743789" w:rsidRPr="00E82CF9" w:rsidRDefault="00C6054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6054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na dostawę </w:t>
      </w:r>
      <w:r w:rsidR="00523E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przełączników sieciowych</w:t>
      </w:r>
    </w:p>
    <w:p w14:paraId="3F7C89A2" w14:textId="62C8B0F4" w:rsidR="00743789" w:rsidRPr="00E82CF9" w:rsidRDefault="00743789" w:rsidP="0074378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</w:t>
      </w:r>
      <w:r w:rsidR="00523E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FZ-08</w:t>
      </w:r>
      <w:r w:rsidR="003160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C56AE2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/2024</w:t>
      </w:r>
    </w:p>
    <w:p w14:paraId="27B8ED09" w14:textId="77777777" w:rsidR="00743789" w:rsidRPr="00B466AB" w:rsidRDefault="00743789" w:rsidP="00743789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7C6A3C4C" w14:textId="5C809E75" w:rsidR="00743789" w:rsidRPr="00B466AB" w:rsidRDefault="00743789" w:rsidP="006B28DE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12981B22" w14:textId="77777777" w:rsidR="00743789" w:rsidRPr="00B466AB" w:rsidRDefault="00743789" w:rsidP="000F4505">
      <w:pPr>
        <w:jc w:val="center"/>
        <w:rPr>
          <w:rFonts w:asciiTheme="minorHAnsi" w:hAnsiTheme="minorHAnsi" w:cstheme="minorHAnsi"/>
          <w:b/>
          <w:u w:val="single"/>
        </w:rPr>
      </w:pPr>
      <w:r w:rsidRPr="00B466AB">
        <w:rPr>
          <w:rFonts w:asciiTheme="minorHAnsi" w:hAnsiTheme="minorHAnsi" w:cstheme="minorHAnsi"/>
          <w:b/>
          <w:u w:val="single"/>
        </w:rPr>
        <w:t xml:space="preserve">Zestawienie wymaganych minimalnych parametrów </w:t>
      </w:r>
      <w:proofErr w:type="spellStart"/>
      <w:r w:rsidRPr="00B466AB">
        <w:rPr>
          <w:rFonts w:asciiTheme="minorHAnsi" w:hAnsiTheme="minorHAnsi" w:cstheme="minorHAnsi"/>
          <w:b/>
          <w:u w:val="single"/>
        </w:rPr>
        <w:t>techniczno</w:t>
      </w:r>
      <w:proofErr w:type="spellEnd"/>
      <w:r w:rsidRPr="00B466AB">
        <w:rPr>
          <w:rFonts w:asciiTheme="minorHAnsi" w:hAnsiTheme="minorHAnsi" w:cstheme="minorHAnsi"/>
          <w:b/>
          <w:u w:val="single"/>
        </w:rPr>
        <w:t xml:space="preserve"> – użytkowych </w:t>
      </w:r>
    </w:p>
    <w:p w14:paraId="20F09CBE" w14:textId="77777777" w:rsidR="000F4505" w:rsidRPr="00B466AB" w:rsidRDefault="000F4505" w:rsidP="000F4505">
      <w:pPr>
        <w:rPr>
          <w:rFonts w:asciiTheme="minorHAnsi" w:hAnsiTheme="minorHAnsi" w:cstheme="minorHAnsi"/>
          <w:b/>
          <w:u w:val="single"/>
        </w:rPr>
      </w:pPr>
    </w:p>
    <w:p w14:paraId="6EFB17E4" w14:textId="0421563F" w:rsidR="00523E03" w:rsidRPr="00523E03" w:rsidRDefault="00523E03" w:rsidP="00743789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3E03">
        <w:rPr>
          <w:rFonts w:asciiTheme="minorHAnsi" w:hAnsiTheme="minorHAnsi" w:cstheme="minorHAnsi"/>
          <w:b/>
          <w:sz w:val="22"/>
          <w:szCs w:val="22"/>
          <w:u w:val="single"/>
        </w:rPr>
        <w:t>Poz. 1</w:t>
      </w:r>
    </w:p>
    <w:p w14:paraId="49B9E59D" w14:textId="24A16F64" w:rsidR="00743789" w:rsidRPr="00B854EC" w:rsidRDefault="00743789" w:rsidP="00743789">
      <w:pPr>
        <w:spacing w:line="360" w:lineRule="auto"/>
        <w:rPr>
          <w:rFonts w:asciiTheme="minorHAnsi" w:hAnsiTheme="minorHAnsi" w:cstheme="minorHAnsi"/>
          <w:b/>
        </w:rPr>
      </w:pPr>
      <w:r w:rsidRPr="00B466AB">
        <w:rPr>
          <w:rFonts w:asciiTheme="minorHAnsi" w:hAnsiTheme="minorHAnsi" w:cstheme="minorHAnsi"/>
        </w:rPr>
        <w:t xml:space="preserve">Przedmiot zamówienia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523E03">
        <w:rPr>
          <w:rFonts w:asciiTheme="minorHAnsi" w:hAnsiTheme="minorHAnsi" w:cstheme="minorHAnsi"/>
          <w:b/>
        </w:rPr>
        <w:t xml:space="preserve">Przełączniki sieciowe </w:t>
      </w:r>
      <w:r w:rsidR="00523E03" w:rsidRPr="00523E03">
        <w:rPr>
          <w:rFonts w:asciiTheme="minorHAnsi" w:hAnsiTheme="minorHAnsi" w:cstheme="minorHAnsi"/>
          <w:b/>
        </w:rPr>
        <w:t>48 portów</w:t>
      </w:r>
      <w:r w:rsidR="00375876">
        <w:rPr>
          <w:rFonts w:asciiTheme="minorHAnsi" w:hAnsiTheme="minorHAnsi" w:cstheme="minorHAnsi"/>
          <w:b/>
        </w:rPr>
        <w:t xml:space="preserve">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375876">
        <w:rPr>
          <w:rFonts w:asciiTheme="minorHAnsi" w:hAnsiTheme="minorHAnsi" w:cstheme="minorHAnsi"/>
          <w:b/>
        </w:rPr>
        <w:t>6</w:t>
      </w:r>
      <w:r w:rsidR="006B28DE">
        <w:rPr>
          <w:rFonts w:asciiTheme="minorHAnsi" w:hAnsiTheme="minorHAnsi" w:cstheme="minorHAnsi"/>
          <w:b/>
        </w:rPr>
        <w:t xml:space="preserve"> szt.</w:t>
      </w:r>
    </w:p>
    <w:p w14:paraId="57386C3D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2A9D4996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6F1CC8C5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Nr katalogowy</w:t>
      </w:r>
      <w:r w:rsidR="006B4929">
        <w:rPr>
          <w:rFonts w:asciiTheme="minorHAnsi" w:hAnsiTheme="minorHAnsi" w:cstheme="minorHAnsi"/>
        </w:rPr>
        <w:t xml:space="preserve">      </w:t>
      </w:r>
      <w:r w:rsidRPr="00B466AB">
        <w:rPr>
          <w:rFonts w:asciiTheme="minorHAnsi" w:hAnsiTheme="minorHAnsi" w:cstheme="minorHAnsi"/>
        </w:rPr>
        <w:t>…………………………………………………………………...............</w:t>
      </w:r>
    </w:p>
    <w:p w14:paraId="3E4F2022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  <w:i/>
        </w:rPr>
      </w:pPr>
      <w:r w:rsidRPr="00B466AB"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7C9087D9" w14:textId="77777777" w:rsidR="006A1C51" w:rsidRDefault="006A1C51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14031" w:type="dxa"/>
        <w:tblInd w:w="104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101" w:type="dxa"/>
          <w:bottom w:w="57" w:type="dxa"/>
        </w:tblCellMar>
        <w:tblLook w:val="0000" w:firstRow="0" w:lastRow="0" w:firstColumn="0" w:lastColumn="0" w:noHBand="0" w:noVBand="0"/>
      </w:tblPr>
      <w:tblGrid>
        <w:gridCol w:w="602"/>
        <w:gridCol w:w="1892"/>
        <w:gridCol w:w="6292"/>
        <w:gridCol w:w="1113"/>
        <w:gridCol w:w="4132"/>
      </w:tblGrid>
      <w:tr w:rsidR="00523E03" w:rsidRPr="00A718A6" w14:paraId="21C2F706" w14:textId="77777777" w:rsidTr="00523E03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4FB88552" w14:textId="77777777" w:rsidR="00523E03" w:rsidRPr="00A718A6" w:rsidRDefault="00523E03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4DF6D6F" w14:textId="0DFB2350" w:rsidR="00523E03" w:rsidRPr="00A718A6" w:rsidRDefault="00523E03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4353ADEF" w14:textId="3B408DC3" w:rsidR="00523E03" w:rsidRPr="00A718A6" w:rsidRDefault="00523E03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Wymagania techniczne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3A762293" w14:textId="25518478" w:rsidR="00523E03" w:rsidRPr="00A718A6" w:rsidRDefault="00523E03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/>
            <w:tcMar>
              <w:left w:w="101" w:type="dxa"/>
            </w:tcMar>
            <w:vAlign w:val="center"/>
          </w:tcPr>
          <w:p w14:paraId="611946EE" w14:textId="679D5491" w:rsidR="00523E03" w:rsidRPr="00A718A6" w:rsidRDefault="00523E03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523E03" w:rsidRPr="00A718A6" w14:paraId="5747498B" w14:textId="77777777" w:rsidTr="00523E03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8B5D7F" w14:textId="47BB12F6" w:rsidR="00523E03" w:rsidRPr="00A718A6" w:rsidRDefault="00523E03" w:rsidP="009674C9">
            <w:pPr>
              <w:snapToGrid w:val="0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08EB372" w14:textId="77777777" w:rsidR="00523E03" w:rsidRPr="00A718A6" w:rsidRDefault="00523E03" w:rsidP="00A2213E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33DA27" w14:textId="26849E68" w:rsidR="00523E03" w:rsidRPr="00A718A6" w:rsidRDefault="00523E03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86DBE0" w14:textId="3B876842" w:rsidR="00523E03" w:rsidRPr="00A718A6" w:rsidRDefault="00523E03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4.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9AE1ACE" w14:textId="7E089BE3" w:rsidR="00523E03" w:rsidRPr="00A718A6" w:rsidRDefault="00523E03" w:rsidP="00A2213E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 xml:space="preserve">*) </w:t>
            </w:r>
            <w:r w:rsidR="000679E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5</w:t>
            </w:r>
          </w:p>
        </w:tc>
      </w:tr>
      <w:tr w:rsidR="00523E03" w:rsidRPr="00A718A6" w14:paraId="60BF309E" w14:textId="77777777" w:rsidTr="00523E03">
        <w:trPr>
          <w:trHeight w:val="257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4DD4B3C" w14:textId="019567BD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89C32A9" w14:textId="00980EA1" w:rsidR="00523E03" w:rsidRPr="00523E03" w:rsidRDefault="00523E03" w:rsidP="002E2973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bCs/>
                <w:sz w:val="22"/>
                <w:szCs w:val="22"/>
              </w:rPr>
              <w:t>Budowa i montaż</w:t>
            </w:r>
          </w:p>
        </w:tc>
        <w:tc>
          <w:tcPr>
            <w:tcW w:w="6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6AB7" w14:textId="1B2D33F1" w:rsidR="00523E03" w:rsidRPr="00523E03" w:rsidRDefault="00523E03" w:rsidP="002E2973">
            <w:pPr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Przełącznik musi być dedykowanym urządzeniem sieciowym o wysokości 1U przystosowanym do montowania w szafie </w:t>
            </w:r>
            <w:proofErr w:type="spellStart"/>
            <w:r w:rsidRPr="00523E03">
              <w:rPr>
                <w:rFonts w:asciiTheme="minorHAnsi" w:hAnsiTheme="minorHAnsi" w:cs="Calibri"/>
                <w:bCs/>
                <w:sz w:val="22"/>
                <w:szCs w:val="22"/>
              </w:rPr>
              <w:t>rack</w:t>
            </w:r>
            <w:proofErr w:type="spellEnd"/>
            <w:r w:rsidRPr="00523E0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19”.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B504C85" w14:textId="0FCB06C1" w:rsidR="00523E03" w:rsidRPr="00A718A6" w:rsidRDefault="00523E03" w:rsidP="002E29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2945CF7" w14:textId="1C29218E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4EB14153" w14:textId="77777777" w:rsidTr="00523E03">
        <w:trPr>
          <w:trHeight w:val="788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1B902C7" w14:textId="29728B24" w:rsidR="00523E03" w:rsidRPr="00A718A6" w:rsidRDefault="00523E03" w:rsidP="002E2973">
            <w:pPr>
              <w:pStyle w:val="Akapitzlist"/>
              <w:numPr>
                <w:ilvl w:val="0"/>
                <w:numId w:val="2"/>
              </w:numPr>
              <w:snapToGrid w:val="0"/>
              <w:ind w:left="357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1AC5CEA" w14:textId="7C783BC6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Funkcjonalność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F32B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nie mniej niż 48 portów umożliwiających prace w trybie 1G/10G/25G (SFP/SFP+/SFP28).</w:t>
            </w:r>
          </w:p>
          <w:p w14:paraId="2AF6904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8 portów umożliwiających pracę w trybie 40G/100G (QSFP+, QSFP28).</w:t>
            </w:r>
          </w:p>
          <w:p w14:paraId="500A2E4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Musi istnieć możliwość wykorzystania interfejsu QSFP28 jako 4x25G lub 4x10G</w:t>
            </w:r>
          </w:p>
          <w:p w14:paraId="319EAAB2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obsługiwać moduły QSFP28 typu SR4, LR4 oraz przewody optyczne typu Active Optical Cable.</w:t>
            </w:r>
          </w:p>
          <w:p w14:paraId="2F073207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moduły QSFP+ typu LX4, SR4, ESR4,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lastRenderedPageBreak/>
              <w:t>LR4 oraz przewody miedziane typu Direct Attached Cable.</w:t>
            </w:r>
          </w:p>
          <w:p w14:paraId="4216F555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wymienny zasilacz AC. Przełącznik musi posiadać możliwość wyposażenia w wewnętrzny redundantny zasilacz. Wymiana zasilaczy musi być wykonywana bez potrzeby wyłączenia urządzenia (hot-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swap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).</w:t>
            </w:r>
          </w:p>
          <w:p w14:paraId="05CE9FF7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co najmniej 5 modułów wentylacji. Wymiana modułów wentylacji musi być wykonywana bez potrzeby wyłączenia urządzenia (hot-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swap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).</w:t>
            </w:r>
          </w:p>
          <w:p w14:paraId="62DB714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Przepływ powietrza przez przełącznik musi być od przodu (wlot) do tyłu (wylot).</w:t>
            </w:r>
          </w:p>
          <w:p w14:paraId="17960451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być wyposażony w port konsoli oraz dwa dedykowane interfejsy Ethernet RJ45 do zarządzania OOB (out-of-band).</w:t>
            </w:r>
          </w:p>
          <w:p w14:paraId="7130687F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być wyposażony w 1 port USB 2.0</w:t>
            </w:r>
          </w:p>
          <w:p w14:paraId="6925BE81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być wyposażone w co najmniej 16GB pamięci operacyjnej oraz w jeden dysk wewnętrzny typu SSD o pojemności nie mniejszej niż 64 GB.</w:t>
            </w:r>
          </w:p>
          <w:p w14:paraId="680A4A21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Zarządzanie urządzeniem musi odbywać się za pośrednictwem interfejsu linii komend (CLI) przez port konsoli, telnet,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ssh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DCACA13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Przełącznik musi wspierać metodę przełączania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cut-through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i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store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-and-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forward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17B71EEF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Przełącznik musi obsługiwać protokół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Spanning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Tree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 zgodnie z IEEE 802.1D (802.1D-2004),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Rapid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Spannig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Tree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zgodnie IEEE 802.1w, a także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Multiple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Spanning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Tree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zgodnie z</w:t>
            </w:r>
            <w:r w:rsidRPr="00523E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t>IEEE 802.1s (nie mniej niż 64 instancje MSTP).</w:t>
            </w:r>
          </w:p>
          <w:p w14:paraId="672A7D2E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obsługiwać protokół LLDP.</w:t>
            </w:r>
          </w:p>
          <w:p w14:paraId="64113D0D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obsługiwać mechanizm wykrywania awarii BFD.</w:t>
            </w:r>
          </w:p>
          <w:p w14:paraId="046018C8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obsługiwać protokół VRRP.</w:t>
            </w:r>
          </w:p>
          <w:p w14:paraId="75A36A33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ruting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statyczny oraz protokół RIP i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RIPng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192E138D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protokoły routingu dynamicznego OSPFv2/v3 oraz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rutingu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multicast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w postaci PIM-SM, PIM-SSM, MSDP oraz IGMP i IGMP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Snooping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dla wersji IGMP v1,v2 i v3.</w:t>
            </w:r>
          </w:p>
          <w:p w14:paraId="17B0C6C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C7008E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posiadać możliwość uruchomienia protokołów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routingu dynamicznego IS-IS, BGP zarówno dla IPv4 i IPv6, obsługi Virtual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Extensible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LAN (VXLAN), Ethernet VPN.</w:t>
            </w:r>
          </w:p>
          <w:p w14:paraId="346D4B3C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Jeżeli ww. funkcjonalności (IS-IS, BGP dla IPv4 i IPv6, obsługa Virtual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Extensible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LAN (VXLAN), Ethernet VPN ) są dodatkowo licencjonowane nie jest wymagane dostarczenie licencji wraz z urządzeniem w niniejszym postępowaniu.</w:t>
            </w:r>
          </w:p>
          <w:p w14:paraId="5FEC1C2E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01F352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posiadać możliwość obsługi MPLS w zakresie:</w:t>
            </w:r>
          </w:p>
          <w:p w14:paraId="65E045C3" w14:textId="77777777" w:rsidR="00523E03" w:rsidRPr="00523E03" w:rsidRDefault="00523E03" w:rsidP="00523E03">
            <w:pPr>
              <w:pStyle w:val="Akapitzlist"/>
              <w:numPr>
                <w:ilvl w:val="0"/>
                <w:numId w:val="7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Sygnalizacji ścieżek za pomocą protokołów LDP i RSVP,</w:t>
            </w:r>
          </w:p>
          <w:p w14:paraId="67E133CA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MPLS Class of Service,</w:t>
            </w:r>
          </w:p>
          <w:p w14:paraId="458CADF0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MPLS Ping,</w:t>
            </w:r>
          </w:p>
          <w:p w14:paraId="40F9BD0F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L3 VPN,</w:t>
            </w:r>
          </w:p>
          <w:p w14:paraId="47D6BF5E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  <w:lang w:val="en-US"/>
              </w:rPr>
            </w:pPr>
            <w:r w:rsidRPr="00523E03">
              <w:rPr>
                <w:rFonts w:asciiTheme="minorHAnsi" w:hAnsiTheme="minorHAnsi"/>
                <w:lang w:val="en-US"/>
              </w:rPr>
              <w:t>Ethernet-over-MPLS (L2 Circuit),</w:t>
            </w:r>
          </w:p>
          <w:p w14:paraId="1478479A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proofErr w:type="spellStart"/>
            <w:r w:rsidRPr="00523E03">
              <w:rPr>
                <w:rFonts w:asciiTheme="minorHAnsi" w:hAnsiTheme="minorHAnsi"/>
              </w:rPr>
              <w:t>Node</w:t>
            </w:r>
            <w:proofErr w:type="spellEnd"/>
            <w:r w:rsidRPr="00523E03">
              <w:rPr>
                <w:rFonts w:asciiTheme="minorHAnsi" w:hAnsiTheme="minorHAnsi"/>
              </w:rPr>
              <w:t xml:space="preserve">-link </w:t>
            </w:r>
            <w:proofErr w:type="spellStart"/>
            <w:r w:rsidRPr="00523E03">
              <w:rPr>
                <w:rFonts w:asciiTheme="minorHAnsi" w:hAnsiTheme="minorHAnsi"/>
              </w:rPr>
              <w:t>protection</w:t>
            </w:r>
            <w:proofErr w:type="spellEnd"/>
            <w:r w:rsidRPr="00523E03">
              <w:rPr>
                <w:rFonts w:asciiTheme="minorHAnsi" w:hAnsiTheme="minorHAnsi"/>
              </w:rPr>
              <w:t>,</w:t>
            </w:r>
          </w:p>
          <w:p w14:paraId="655F993D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 xml:space="preserve">MPLS Fast </w:t>
            </w:r>
            <w:proofErr w:type="spellStart"/>
            <w:r w:rsidRPr="00523E03">
              <w:rPr>
                <w:rFonts w:asciiTheme="minorHAnsi" w:hAnsiTheme="minorHAnsi"/>
              </w:rPr>
              <w:t>Reroute</w:t>
            </w:r>
            <w:proofErr w:type="spellEnd"/>
            <w:r w:rsidRPr="00523E03">
              <w:rPr>
                <w:rFonts w:asciiTheme="minorHAnsi" w:hAnsiTheme="minorHAnsi"/>
              </w:rPr>
              <w:t>.</w:t>
            </w:r>
          </w:p>
          <w:p w14:paraId="1F869F24" w14:textId="77777777" w:rsidR="00523E03" w:rsidRPr="00523E03" w:rsidRDefault="00523E03" w:rsidP="00523E03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Jeżeli ww. funkcjonalności z zakresu MPLS są dodatkowo licencjonowane nie jest wymagane dostarczenie licencji wraz z urządzeniem w niniejszym postępowaniu.</w:t>
            </w:r>
          </w:p>
          <w:p w14:paraId="0A93E3B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posiadać mechanizmy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priorytetyzowania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i zarządzania ruchem sieciowym (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QoS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) w warstwie 2 i 3. Klasyfikacja ruchu musi odbywać się w zależności od co najmniej: interfejsu, typu ramki Ethernet, sieci VLAN, priorytetu w warstwie 2 (802.1p), adresów MAC, adresów IP, wartości pola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ToS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/DSCP w nagłówkach IP, portów TCP i UDP. Urządzenie musi obsługiwać sprzętowo nie mniej niż 10 kolejek per port fizyczny (8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unicast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i 4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multicast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).</w:t>
            </w:r>
          </w:p>
          <w:p w14:paraId="6693FA29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mechanizm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Weighted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Random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Early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Detection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(WRED).</w:t>
            </w:r>
          </w:p>
          <w:p w14:paraId="55F0DB73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filtrowanie ruchu co najmniej na poziomie portu i sieci VLAN dla kryteriów z warstw 2-4. Urządzenie musi realizować nie mniej niż 1500 reguł filtrowania ruchu dla ruchu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lastRenderedPageBreak/>
              <w:t>wejściowego i 500 reguł dla ruchu wyjściowego. W regułach filtrowania ruchu musi być dostępny mechanizm zliczania dla zaakceptowanych lub zablokowanych pakietów. Musi być dostępna funkcja edycji reguł filtrowania ruchu na samym urządzeniu.</w:t>
            </w:r>
          </w:p>
          <w:p w14:paraId="141F9B7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obsługiwać protokół SNMP (wersje 1,2 i 3), oraz RMON.</w:t>
            </w:r>
          </w:p>
          <w:p w14:paraId="1B9C62D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Architektura systemu operacyjnego urządzenia musi posiadać budowę modularną (poszczególne moduły muszą działać w odseparowanych obszarach pamięci), m.in. moduł przekazywania pakietów, odpowiedzialny za przełączanie pakietów musi być oddzielony od modułu routingu IP, odpowiedzialnego za ustalanie tras routingu i zarządzanie urządzeniem.</w:t>
            </w:r>
          </w:p>
          <w:p w14:paraId="5988FC44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posiadać mechanizm szybkiego odtwarzania systemu i przywracania konfiguracji. W urządzeniu musi być przechowywanych minimum 40 poprzednich, kompletnych konfiguracji.</w:t>
            </w:r>
          </w:p>
          <w:p w14:paraId="7742A9F2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mechanizm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Multichassis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link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aggregation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(MC-LAG) oraz EVPN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Multihoming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(ESI-LAG).</w:t>
            </w:r>
          </w:p>
          <w:p w14:paraId="537EA2AC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Rozwiązanie musi obsługiwać protokół Data Center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Bridging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Exchange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Protocol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(DCBX), DCBX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FCoE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F7675B1" w14:textId="2CA1113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Powinna istnieć możliwość obsługi ruchu FC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over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Ethernet (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FCoE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).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C7567EE" w14:textId="042B3ECA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F20F705" w14:textId="1BB2DF94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2E8B12E4" w14:textId="77777777" w:rsidTr="00523E03">
        <w:trPr>
          <w:trHeight w:val="340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123E413" w14:textId="1B7D196A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>3.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8F154FD" w14:textId="6C1622F1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Bezpieczeństwo</w:t>
            </w:r>
          </w:p>
        </w:tc>
        <w:tc>
          <w:tcPr>
            <w:tcW w:w="6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089D" w14:textId="2847713C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Przełącznik musi obsługiwać takie mechanizmy bezpieczeństwa jak limitowanie adresów MAC,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Dynamic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ARP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Inspection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, DHCP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snooping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, IP Source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Guard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D564E92" w14:textId="2E8E0CAD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11021E" w14:textId="57B3FCB9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60219FCA" w14:textId="77777777" w:rsidTr="00523E03">
        <w:trPr>
          <w:trHeight w:val="140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8606E13" w14:textId="2C4A803C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4.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66BA00D" w14:textId="57CFE409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Wydajność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13EB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Wydajność przełączania nie może być niższa niż 4Tb/s.</w:t>
            </w:r>
          </w:p>
          <w:p w14:paraId="164518BB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możliwość obsługi co najmniej 280 000 adresów MAC.</w:t>
            </w:r>
          </w:p>
          <w:p w14:paraId="73D28929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możliwość obsługi co najmniej 200 000 prefiksów IPv4 oraz 100 000 prefiksów IPv6.</w:t>
            </w:r>
          </w:p>
          <w:p w14:paraId="6EE4D1D1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obsługiwać ramki Jumbo (9216 bajtów).</w:t>
            </w:r>
          </w:p>
          <w:p w14:paraId="53B4C71C" w14:textId="5B523CBB" w:rsidR="00523E03" w:rsidRPr="00523E03" w:rsidRDefault="00523E03" w:rsidP="002E297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Przełącznik musi obsługiwać sieci VLAN zgodne z IEEE 802.1q w ilości nie mniejszej niż 4090. </w:t>
            </w:r>
            <w:r w:rsidRPr="00523E03">
              <w:rPr>
                <w:rStyle w:val="Odwoaniedokomentarza"/>
                <w:rFonts w:asciiTheme="minorHAnsi" w:hAnsiTheme="minorHAnsi" w:cs="Calibri"/>
                <w:sz w:val="22"/>
                <w:szCs w:val="22"/>
              </w:rPr>
              <w:t>Urządzenie musi obsługiwać agregowanie połączeń zgodne z IEEE 802.3ad - nie mniej niż 80 grup LAG, nie mniej niż 64 porty w grupie.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E7E1B3" w14:textId="02391414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FCA54BD" w14:textId="4153D183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0016135F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4FBED04" w14:textId="2C4CEDD2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 xml:space="preserve">5.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FC063C1" w14:textId="7CF0AADF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Wysoka dostępność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1E27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umożliwiać zestawienie w stos składający się co najmniej z czterech urządzeń. Stos musi być widoczny z punktu widzenia zarządzania oraz innych urządzeń sieciowych jako jedno urządzenie. Zarządzanie wszystkimi przełącznikami w stosie musi się odbywać z dowolnego przełącznika będącego częścią stosu. Stos musi być odporny na awarie, tzn. przełącznik kontrolujący pracę stosu (master) musi być automatycznie zastąpiony przełącznikiem pełniącym rolę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backup’u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– wybór przełącznika backup nie może odbywać się w momencie awarii przełącznika master.</w:t>
            </w:r>
          </w:p>
          <w:p w14:paraId="7909A2CB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Łączenie w stos musi być realizowane połączeniami 40Gbps lub 100Gbps.</w:t>
            </w:r>
          </w:p>
          <w:p w14:paraId="2299ABFA" w14:textId="01B743C8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Jeżeli ww. funkcjonalność jest dodatkowo licencjonowane należy wraz z urządzeniem dostarczyć odpowiednią licencję.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2BFD0E3" w14:textId="59476279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BD4BEA" w14:textId="63D7CF2A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5158AEE2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9F1E24D" w14:textId="4A720C02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6.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7F83860D" w14:textId="72AFBD12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Zasilanie i energia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35AF" w14:textId="5AF556CB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2 zasilacze AC przystosowane do zasilania z sieci 230V/50Hz oraz wentylację. Urządzenie musi poprawnie pracować przy awarii jednego z dwóch zasilaczy.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3BAA5A5" w14:textId="7C675E7F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A718DC5" w14:textId="7553DFE2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63D9FC35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2EE3993" w14:textId="362E1C28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7.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6823AB12" w14:textId="110FA24F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System zarządzania i monitorowania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B63E" w14:textId="1FD26E25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Wraz z urządzeniami wymagane jest dostarczenie platformy zarządzania i monitorowania.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6A4728" w14:textId="17E2C6C1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03ECA0B" w14:textId="77777777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0EA6251F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45D875" w14:textId="31FB2F31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8.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A8DBDCC" w14:textId="66D832D1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Komponenty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4EA" w14:textId="0F2270AB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Wszystkie elementy urządzenia (wkładki, kable DAC) mają pochodzić i być objęte gwarancją jednego producenta.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A445BA1" w14:textId="71EF8D23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A9C70F4" w14:textId="77777777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3CE8EE9E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369764C" w14:textId="2E0E82E5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9.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FEC3273" w14:textId="37490373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54C0" w14:textId="07161684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color w:val="333333"/>
                <w:sz w:val="22"/>
                <w:szCs w:val="22"/>
                <w:lang w:eastAsia="pl-PL"/>
              </w:rPr>
              <w:t>Wsparcie techniczne producenta przełączników na całość dostarczanego sprzętu i oprogramowania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B7FD99" w14:textId="0E066C4E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1E442F1" w14:textId="77777777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504D9E09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FA67B2" w14:textId="1A096FED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10.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A691060" w14:textId="756A8138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Dostawa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FE53" w14:textId="11EC3530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Całość dostarczanego sprzętu i oprogramowania musi pochodzić z autoryzowanego przez producenta kanału sprzedaży, na terenie Unii Europejskiej – do oferty należy dołączyć oświadczenie producenta lub autoryzowanego dystrybutora sprzętu i oprogramowania poświadczające pochodzenie sprzętu z autoryzowanego kanału sprzedaży.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A1AB2FB" w14:textId="2775B817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FF90BFC" w14:textId="77777777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4239C265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0EACFA9" w14:textId="366B8A1A" w:rsidR="00523E03" w:rsidRPr="00A718A6" w:rsidRDefault="00523E03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11.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B2D5F90" w14:textId="2DC11F05" w:rsidR="00523E03" w:rsidRPr="00523E03" w:rsidRDefault="00523E03" w:rsidP="00FB684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Moduły: SFP+, QSFP+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DF93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Wraz z przełącznikami należy dostarczyć pasujące do przełączników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transcivery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14:paraId="15C105A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- 8 szt. QSFP+, 100GBASE-LR4, SMF, gwarantujących poprawność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lastRenderedPageBreak/>
              <w:t>transmisji na odległość nie mniejszą niż 10km, złącze duplex LC</w:t>
            </w:r>
          </w:p>
          <w:p w14:paraId="06B7D0A3" w14:textId="2902F685" w:rsidR="00523E03" w:rsidRPr="00523E03" w:rsidRDefault="00523E03" w:rsidP="00FB6849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- </w:t>
            </w:r>
            <w:r w:rsidRPr="00523E0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144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szt. SFP+, 10GBASE-SR, MMF, złącze duplex LC, gwarantujących poprawność transmisji na odległość nie mniejszą niż dla światłowodu OM3 300 metrów i OM4 400 metrów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4CBAEF7" w14:textId="77FD4147" w:rsidR="00523E03" w:rsidRPr="00A718A6" w:rsidRDefault="00523E03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BF0715D" w14:textId="77777777" w:rsidR="00523E03" w:rsidRPr="00A718A6" w:rsidRDefault="00523E03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48A3C5E7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7BBDA54" w14:textId="5C24FAA3" w:rsidR="00523E03" w:rsidRPr="00A718A6" w:rsidRDefault="00523E03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12.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CB39804" w14:textId="71B802C9" w:rsidR="00523E03" w:rsidRPr="00523E03" w:rsidRDefault="00523E03" w:rsidP="00FB684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Kable DAC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DB3F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Wraz z każdym przełącznikiem wymagane jest dostarczenie:</w:t>
            </w:r>
          </w:p>
          <w:p w14:paraId="019ACE0B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- kabli DAC, umożliwiających podłączenie (w postaci pętli) niniejszych przełączników przy pomocy dedykowanych portów do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stackowania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w stos, przy zapewnieniu prędkości dla pojedynczego połączenia stosu 100Gbps.</w:t>
            </w:r>
          </w:p>
          <w:p w14:paraId="30DBA094" w14:textId="2ADF1A6B" w:rsidR="00523E03" w:rsidRPr="00523E03" w:rsidRDefault="00523E03" w:rsidP="00FB6849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Przewód musi pozwalać na połączenie dwóch przełączników na odległość co najmniej 3m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4AC2069" w14:textId="49BE3D79" w:rsidR="00523E03" w:rsidRPr="00A718A6" w:rsidRDefault="00523E03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37A5F38" w14:textId="77777777" w:rsidR="00523E03" w:rsidRPr="00A718A6" w:rsidRDefault="00523E03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0627EC6B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513C4CA" w14:textId="216F15DE" w:rsidR="00523E03" w:rsidRPr="00A718A6" w:rsidRDefault="00523E03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13.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2713447" w14:textId="738C9BDD" w:rsidR="00523E03" w:rsidRPr="00A718A6" w:rsidRDefault="00523E03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Certyfikaty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EBC2" w14:textId="77777777" w:rsidR="00523E03" w:rsidRPr="000D4002" w:rsidRDefault="00523E03" w:rsidP="00523E03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7" w:hanging="237"/>
              <w:jc w:val="both"/>
              <w:rPr>
                <w:rFonts w:cs="Aptos"/>
                <w:bCs/>
                <w:iCs/>
              </w:rPr>
            </w:pPr>
            <w:r w:rsidRPr="00317AE5">
              <w:rPr>
                <w:rFonts w:eastAsia="Times New Roman" w:cs="Calibri"/>
                <w:bCs/>
                <w:lang w:eastAsia="ar-SA"/>
              </w:rPr>
              <w:t xml:space="preserve">certyfikat </w:t>
            </w:r>
            <w:proofErr w:type="spellStart"/>
            <w:r w:rsidRPr="00317AE5">
              <w:rPr>
                <w:rFonts w:eastAsia="Times New Roman" w:cs="Calibri"/>
                <w:bCs/>
                <w:lang w:eastAsia="ar-SA"/>
              </w:rPr>
              <w:t>RoHS</w:t>
            </w:r>
            <w:proofErr w:type="spellEnd"/>
            <w:r w:rsidRPr="00317AE5">
              <w:rPr>
                <w:rFonts w:eastAsia="Times New Roman" w:cs="Calibri"/>
                <w:bCs/>
                <w:lang w:eastAsia="ar-SA"/>
              </w:rPr>
              <w:t>,</w:t>
            </w:r>
          </w:p>
          <w:p w14:paraId="1F1D5296" w14:textId="77777777" w:rsidR="00523E03" w:rsidRPr="000D4002" w:rsidRDefault="00523E03" w:rsidP="00523E03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7" w:hanging="237"/>
              <w:jc w:val="both"/>
              <w:rPr>
                <w:rFonts w:cs="Aptos"/>
                <w:bCs/>
                <w:iCs/>
              </w:rPr>
            </w:pPr>
            <w:r w:rsidRPr="000D4002">
              <w:rPr>
                <w:rFonts w:cs="Aptos"/>
                <w:bCs/>
                <w:iCs/>
              </w:rPr>
              <w:t>aktualny Certyfikat ISO 9001 - Systemy zarządzania jakością,</w:t>
            </w:r>
          </w:p>
          <w:p w14:paraId="3BEF58CB" w14:textId="7E1DFDB1" w:rsidR="00523E03" w:rsidRPr="00523E03" w:rsidRDefault="00523E03" w:rsidP="00523E0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37" w:hanging="237"/>
              <w:jc w:val="both"/>
              <w:rPr>
                <w:rFonts w:cs="Aptos"/>
                <w:bCs/>
                <w:iCs/>
              </w:rPr>
            </w:pPr>
            <w:r w:rsidRPr="000D4002">
              <w:rPr>
                <w:rFonts w:cs="Aptos"/>
                <w:bCs/>
                <w:iCs/>
              </w:rPr>
              <w:t>- wydany przez niezależny podmiot uprawniony do kontroli jakości potwierdzających, że dostarczone urządzenia odpowiadają określonym normom</w:t>
            </w:r>
            <w:r>
              <w:rPr>
                <w:rFonts w:cs="Aptos"/>
                <w:bCs/>
                <w:iCs/>
              </w:rPr>
              <w:t xml:space="preserve"> lub specyfikacjom technicznym,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82E24C8" w14:textId="5F9A64DD" w:rsidR="00523E03" w:rsidRPr="00A718A6" w:rsidRDefault="00523E03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załączyć do oferty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179BBD7" w14:textId="77777777" w:rsidR="00523E03" w:rsidRPr="00A718A6" w:rsidRDefault="00523E03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</w:tbl>
    <w:p w14:paraId="40817773" w14:textId="77777777" w:rsidR="00523E03" w:rsidRDefault="00523E03">
      <w:pPr>
        <w:tabs>
          <w:tab w:val="left" w:pos="6840"/>
        </w:tabs>
      </w:pPr>
    </w:p>
    <w:p w14:paraId="251DF026" w14:textId="77777777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0892A95D" w14:textId="759B798D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>Par</w:t>
      </w:r>
      <w:r w:rsidR="00A718A6">
        <w:rPr>
          <w:rFonts w:asciiTheme="minorHAnsi" w:hAnsiTheme="minorHAnsi" w:cstheme="minorHAnsi"/>
          <w:sz w:val="20"/>
          <w:szCs w:val="20"/>
        </w:rPr>
        <w:t>ametry określone w kolumnie nr 3</w:t>
      </w:r>
      <w:r w:rsidRPr="00E372FE">
        <w:rPr>
          <w:rFonts w:asciiTheme="minorHAnsi" w:hAnsiTheme="minorHAnsi" w:cstheme="minorHAnsi"/>
          <w:sz w:val="20"/>
          <w:szCs w:val="20"/>
        </w:rPr>
        <w:t xml:space="preserve"> są parametrami granicznymi, których nie spełnienie spowoduje odrzucenie oferty. Brak opisu w kolumnie </w:t>
      </w:r>
      <w:r w:rsidR="00523E03">
        <w:rPr>
          <w:rFonts w:asciiTheme="minorHAnsi" w:hAnsiTheme="minorHAnsi" w:cstheme="minorHAnsi"/>
          <w:sz w:val="20"/>
          <w:szCs w:val="20"/>
        </w:rPr>
        <w:t>5</w:t>
      </w:r>
      <w:r w:rsidRPr="00E372FE">
        <w:rPr>
          <w:rFonts w:asciiTheme="minorHAnsi" w:hAnsiTheme="minorHAnsi" w:cstheme="minorHAnsi"/>
          <w:sz w:val="20"/>
          <w:szCs w:val="20"/>
        </w:rPr>
        <w:t xml:space="preserve"> będzie traktowany jako brak danego parametru w oferowanej konfiguracji urządzeń.    </w:t>
      </w:r>
    </w:p>
    <w:p w14:paraId="3F686B3A" w14:textId="77777777" w:rsidR="009674C9" w:rsidRDefault="009674C9">
      <w:pPr>
        <w:tabs>
          <w:tab w:val="left" w:pos="6840"/>
        </w:tabs>
      </w:pPr>
    </w:p>
    <w:p w14:paraId="7498ED21" w14:textId="77777777" w:rsidR="00E7180A" w:rsidRDefault="00E7180A">
      <w:pPr>
        <w:tabs>
          <w:tab w:val="left" w:pos="6840"/>
        </w:tabs>
      </w:pPr>
    </w:p>
    <w:p w14:paraId="4B45D676" w14:textId="16B28622" w:rsidR="00523E03" w:rsidRPr="00523E03" w:rsidRDefault="00523E03" w:rsidP="00523E03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Poz. 2</w:t>
      </w:r>
    </w:p>
    <w:p w14:paraId="51415CA9" w14:textId="0E7B5A9D" w:rsidR="00523E03" w:rsidRPr="00B854EC" w:rsidRDefault="00523E03" w:rsidP="00523E03">
      <w:pPr>
        <w:spacing w:line="360" w:lineRule="auto"/>
        <w:rPr>
          <w:rFonts w:asciiTheme="minorHAnsi" w:hAnsiTheme="minorHAnsi" w:cstheme="minorHAnsi"/>
          <w:b/>
        </w:rPr>
      </w:pPr>
      <w:r w:rsidRPr="00B466AB">
        <w:rPr>
          <w:rFonts w:asciiTheme="minorHAnsi" w:hAnsiTheme="minorHAnsi" w:cstheme="minorHAnsi"/>
        </w:rPr>
        <w:t xml:space="preserve">Przedmiot zamówienia </w:t>
      </w:r>
      <w:r w:rsidRPr="00B854EC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Platforma</w:t>
      </w:r>
      <w:r w:rsidRPr="00523E03">
        <w:rPr>
          <w:rFonts w:asciiTheme="minorHAnsi" w:hAnsiTheme="minorHAnsi" w:cstheme="minorHAnsi"/>
          <w:b/>
        </w:rPr>
        <w:t xml:space="preserve"> zarządzania i monitorowania </w:t>
      </w:r>
      <w:r w:rsidRPr="00B854EC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1 szt.</w:t>
      </w:r>
    </w:p>
    <w:p w14:paraId="538C9988" w14:textId="77777777" w:rsidR="00523E03" w:rsidRPr="00B466AB" w:rsidRDefault="00523E03" w:rsidP="00523E03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53EAE3F3" w14:textId="77777777" w:rsidR="00523E03" w:rsidRPr="00B466AB" w:rsidRDefault="00523E03" w:rsidP="00523E03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7537D08B" w14:textId="77777777" w:rsidR="00523E03" w:rsidRPr="00B466AB" w:rsidRDefault="00523E03" w:rsidP="00523E03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Nr katalogowy</w:t>
      </w:r>
      <w:r>
        <w:rPr>
          <w:rFonts w:asciiTheme="minorHAnsi" w:hAnsiTheme="minorHAnsi" w:cstheme="minorHAnsi"/>
        </w:rPr>
        <w:t xml:space="preserve">      </w:t>
      </w:r>
      <w:r w:rsidRPr="00B466AB">
        <w:rPr>
          <w:rFonts w:asciiTheme="minorHAnsi" w:hAnsiTheme="minorHAnsi" w:cstheme="minorHAnsi"/>
        </w:rPr>
        <w:t>…………………………………………………………………...............</w:t>
      </w:r>
    </w:p>
    <w:p w14:paraId="79485A94" w14:textId="77777777" w:rsidR="00523E03" w:rsidRPr="00B466AB" w:rsidRDefault="00523E03" w:rsidP="00523E03">
      <w:pPr>
        <w:spacing w:line="360" w:lineRule="auto"/>
        <w:rPr>
          <w:rFonts w:asciiTheme="minorHAnsi" w:hAnsiTheme="minorHAnsi" w:cstheme="minorHAnsi"/>
          <w:i/>
        </w:rPr>
      </w:pPr>
      <w:r w:rsidRPr="00B466AB"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67C7EA28" w14:textId="77777777" w:rsidR="00523E03" w:rsidRDefault="00523E03" w:rsidP="00523E03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14031" w:type="dxa"/>
        <w:tblInd w:w="104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101" w:type="dxa"/>
          <w:bottom w:w="57" w:type="dxa"/>
        </w:tblCellMar>
        <w:tblLook w:val="0000" w:firstRow="0" w:lastRow="0" w:firstColumn="0" w:lastColumn="0" w:noHBand="0" w:noVBand="0"/>
      </w:tblPr>
      <w:tblGrid>
        <w:gridCol w:w="602"/>
        <w:gridCol w:w="1892"/>
        <w:gridCol w:w="6292"/>
        <w:gridCol w:w="1113"/>
        <w:gridCol w:w="4132"/>
      </w:tblGrid>
      <w:tr w:rsidR="00523E03" w:rsidRPr="00A718A6" w14:paraId="62341F86" w14:textId="77777777" w:rsidTr="00523E03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B6EED40" w14:textId="77777777" w:rsidR="00523E03" w:rsidRPr="00A718A6" w:rsidRDefault="00523E03" w:rsidP="00523E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lastRenderedPageBreak/>
              <w:t>Lp.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69909F97" w14:textId="77777777" w:rsidR="00523E03" w:rsidRPr="00A718A6" w:rsidRDefault="00523E03" w:rsidP="00523E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6C47610F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Wymagania techniczne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09636A4C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/>
            <w:tcMar>
              <w:left w:w="101" w:type="dxa"/>
            </w:tcMar>
            <w:vAlign w:val="center"/>
          </w:tcPr>
          <w:p w14:paraId="45F1A42D" w14:textId="77777777" w:rsidR="00523E03" w:rsidRPr="00A718A6" w:rsidRDefault="00523E03" w:rsidP="00523E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523E03" w:rsidRPr="00A718A6" w14:paraId="1B0F95D3" w14:textId="77777777" w:rsidTr="00523E03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4AA34F8" w14:textId="77777777" w:rsidR="00523E03" w:rsidRPr="00A718A6" w:rsidRDefault="00523E03" w:rsidP="00523E03">
            <w:pPr>
              <w:snapToGrid w:val="0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0BEC70B" w14:textId="77777777" w:rsidR="00523E03" w:rsidRPr="00A718A6" w:rsidRDefault="00523E03" w:rsidP="00523E03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E6A646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8858487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4.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539F243" w14:textId="67ECF0EC" w:rsidR="00523E03" w:rsidRPr="00A718A6" w:rsidRDefault="00523E03" w:rsidP="00523E03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 xml:space="preserve">*) </w:t>
            </w:r>
            <w:r w:rsidR="000679E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5</w:t>
            </w:r>
          </w:p>
        </w:tc>
      </w:tr>
      <w:tr w:rsidR="00523E03" w:rsidRPr="00A718A6" w14:paraId="608D0387" w14:textId="77777777" w:rsidTr="00523E03">
        <w:trPr>
          <w:trHeight w:val="257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FF391A7" w14:textId="77777777" w:rsidR="00523E03" w:rsidRPr="00A718A6" w:rsidRDefault="00523E03" w:rsidP="00523E0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7E2789FB" w14:textId="7755466B" w:rsidR="00523E03" w:rsidRPr="00597238" w:rsidRDefault="00523E03" w:rsidP="00523E03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97238">
              <w:rPr>
                <w:rFonts w:asciiTheme="minorHAnsi" w:hAnsiTheme="minorHAnsi"/>
                <w:color w:val="333333"/>
                <w:sz w:val="22"/>
                <w:szCs w:val="22"/>
                <w:lang w:eastAsia="pl-PL"/>
              </w:rPr>
              <w:t>Funkcjonalność</w:t>
            </w:r>
          </w:p>
        </w:tc>
        <w:tc>
          <w:tcPr>
            <w:tcW w:w="6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0E22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Wraz z urządzeniami wymagane jest dostarczenie platformy zarządzania i monitorowania.</w:t>
            </w:r>
          </w:p>
          <w:p w14:paraId="58FFEEA4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 xml:space="preserve">Oferowana platforma przeznaczona do uruchomienia systemu musi zapewniać możliwość zarządzania minimum 70 urządzeniami - 56 obecnie posiadanymi przez Zamawiającego przełącznikami </w:t>
            </w:r>
            <w:proofErr w:type="spellStart"/>
            <w:r w:rsidRPr="00597238">
              <w:rPr>
                <w:rFonts w:asciiTheme="minorHAnsi" w:hAnsiTheme="minorHAnsi" w:cs="Calibri"/>
                <w:sz w:val="22"/>
                <w:szCs w:val="22"/>
              </w:rPr>
              <w:t>Juniper</w:t>
            </w:r>
            <w:proofErr w:type="spellEnd"/>
            <w:r w:rsidRPr="00597238">
              <w:rPr>
                <w:rFonts w:asciiTheme="minorHAnsi" w:hAnsiTheme="minorHAnsi" w:cs="Calibri"/>
                <w:sz w:val="22"/>
                <w:szCs w:val="22"/>
              </w:rPr>
              <w:t xml:space="preserve"> Networks (2 szt. QFX5120-48T, 21 szt. EX4100-48T, 21 szt. EX4100-F-24P, 12szt. EX2300-24P ) oraz 6 dodatkowymi przełącznikami LAN, a także umożliwiać zwiększenie liczby obsługiwanych urządzeń do minimum 10000.</w:t>
            </w:r>
          </w:p>
          <w:p w14:paraId="6D72DD92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 xml:space="preserve">Oferowana platforma centralnego systemu zarządzania musi zostać dostarczona w postaci maszyny wirtualnej w formacie OVA działającej w środowisku </w:t>
            </w:r>
            <w:proofErr w:type="spellStart"/>
            <w:r w:rsidRPr="00597238">
              <w:rPr>
                <w:rFonts w:asciiTheme="minorHAnsi" w:hAnsiTheme="minorHAnsi" w:cs="Calibri"/>
                <w:sz w:val="22"/>
                <w:szCs w:val="22"/>
              </w:rPr>
              <w:t>VMware</w:t>
            </w:r>
            <w:proofErr w:type="spellEnd"/>
            <w:r w:rsidRPr="00597238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AAB1BA1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 xml:space="preserve">Zamawiający zapewni wymagane zasoby do uruchomienia platformy w swoim środowisku </w:t>
            </w:r>
            <w:proofErr w:type="spellStart"/>
            <w:r w:rsidRPr="00597238">
              <w:rPr>
                <w:rFonts w:asciiTheme="minorHAnsi" w:hAnsiTheme="minorHAnsi" w:cs="Calibri"/>
                <w:sz w:val="22"/>
                <w:szCs w:val="22"/>
              </w:rPr>
              <w:t>VMware</w:t>
            </w:r>
            <w:proofErr w:type="spellEnd"/>
            <w:r w:rsidRPr="00597238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414FD76A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Platforma systemu zarządzania musi posiadać funkcję tworzenia konfiguracji klastrowej w celu zwiększenia wydajności systemu oraz podniesienia niezawodności rozwiązania. Węzły działające jako zapasowe muszą synchronizować informacje na temat zarządzanych urządzeń z węzłem podstawowym.</w:t>
            </w:r>
          </w:p>
          <w:p w14:paraId="2F07D4E0" w14:textId="77777777" w:rsidR="00523E03" w:rsidRPr="00597238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Zarzadzanie systemem musi odbywać się przy użyciu graficznego interfejsu użytkownika (GUI) z poziomu przeglądarki WWW.</w:t>
            </w:r>
          </w:p>
          <w:p w14:paraId="5A7E6745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Uprawnienia administratorów systemu muszą być definiowane w oparciu o mechanizm ról. System musi obsługiwać uwierzytelnianie administratorów przez protokół RADIUS oraz TACACS+.</w:t>
            </w:r>
          </w:p>
          <w:p w14:paraId="3E4CB05C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Na potrzeby związane z audytem bezpieczeństwa system musi logować czynności wykonywane przez administratorów.</w:t>
            </w:r>
          </w:p>
          <w:p w14:paraId="1F16A1A6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zapewniać tworzenie kopi bezpieczeństwa konfiguracji urządzeń oraz archiwizowanie zmian w ich konfiguracji. System musi udostępniać do przeglądania pełną historię zmian w konfiguracji zarządzanych urządzeń</w:t>
            </w:r>
          </w:p>
          <w:p w14:paraId="42442A2E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 xml:space="preserve">System musi posiadać funkcję graficznej prezentacji struktury </w:t>
            </w:r>
            <w:r w:rsidRPr="00597238">
              <w:rPr>
                <w:rFonts w:asciiTheme="minorHAnsi" w:hAnsiTheme="minorHAnsi" w:cs="Calibri"/>
                <w:sz w:val="22"/>
                <w:szCs w:val="22"/>
              </w:rPr>
              <w:lastRenderedPageBreak/>
              <w:t>połączeń (topologii) zarządzanych przełączników.</w:t>
            </w:r>
          </w:p>
          <w:p w14:paraId="4C130E7C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Platforma zarządzania musi wykrywać przełączniki w określonym przez administratora zakresie adresów IP. Wśród protokołów używanych przez system zarządzania podczas procesu wykrywania muszą się znajdować co najmniej SNMP (wersja 2c i 3), oraz SSH.</w:t>
            </w:r>
          </w:p>
          <w:p w14:paraId="121F9AD8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Komunikacja centralnego systemu zarządzania z zarządzanymi przełącznikami musi odbywać się z wykorzystaniem bezpiecznego kanału przepływu informacji opartego na protokole SSH.</w:t>
            </w:r>
          </w:p>
          <w:p w14:paraId="6184043E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posiadać funkcję zestawienia sesji SSH z zarządzanymi urządzeniami.</w:t>
            </w:r>
          </w:p>
          <w:p w14:paraId="20A3AC12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mieć możliwość realizacji konfiguracji grupowych (w oparciu o protokół NETCONF).</w:t>
            </w:r>
          </w:p>
          <w:p w14:paraId="420CF772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raportować status zarządzanych przełączników, ich numery seryjne, zestawienie komponentów fizycznych (</w:t>
            </w:r>
            <w:proofErr w:type="spellStart"/>
            <w:r w:rsidRPr="00597238">
              <w:rPr>
                <w:rFonts w:asciiTheme="minorHAnsi" w:hAnsiTheme="minorHAnsi" w:cs="Calibri"/>
                <w:sz w:val="22"/>
                <w:szCs w:val="22"/>
              </w:rPr>
              <w:t>inventory</w:t>
            </w:r>
            <w:proofErr w:type="spellEnd"/>
            <w:r w:rsidRPr="00597238">
              <w:rPr>
                <w:rFonts w:asciiTheme="minorHAnsi" w:hAnsiTheme="minorHAnsi" w:cs="Calibri"/>
                <w:sz w:val="22"/>
                <w:szCs w:val="22"/>
              </w:rPr>
              <w:t>), a także status poszczególnych interfejsów sieciowych. Dane te muszą być eksportowane w formacie CSV, PDF, HTML.</w:t>
            </w:r>
          </w:p>
          <w:p w14:paraId="4DE56BFA" w14:textId="067DA024" w:rsidR="00523E03" w:rsidRPr="00597238" w:rsidRDefault="00523E03" w:rsidP="00523E03">
            <w:pPr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posiadać sygnalizację administratorowi faktu ogłaszania daty wycofywania ze sprzedaży oraz daty zakończenia wspierania poszczególnych linii produktowych dla zarządzanych przełączników wyprodukowanych przez tego samego producenta, co sam system zarządzania.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56C3128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2A6B57B" w14:textId="77777777" w:rsidR="00523E03" w:rsidRPr="00A718A6" w:rsidRDefault="00523E03" w:rsidP="00523E03">
            <w:pPr>
              <w:snapToGri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 w:bidi="pl-PL"/>
              </w:rPr>
            </w:pPr>
          </w:p>
        </w:tc>
      </w:tr>
    </w:tbl>
    <w:p w14:paraId="501EAFDD" w14:textId="77777777" w:rsidR="008C0076" w:rsidRDefault="008C0076" w:rsidP="00523E0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0E0C99" w14:textId="77777777" w:rsidR="00523E03" w:rsidRPr="00E372FE" w:rsidRDefault="00523E03" w:rsidP="00523E0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5706036D" w14:textId="77777777" w:rsidR="00523E03" w:rsidRPr="00E372FE" w:rsidRDefault="00523E03" w:rsidP="00523E0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>Par</w:t>
      </w:r>
      <w:r>
        <w:rPr>
          <w:rFonts w:asciiTheme="minorHAnsi" w:hAnsiTheme="minorHAnsi" w:cstheme="minorHAnsi"/>
          <w:sz w:val="20"/>
          <w:szCs w:val="20"/>
        </w:rPr>
        <w:t>ametry określone w kolumnie nr 3</w:t>
      </w:r>
      <w:r w:rsidRPr="00E372FE">
        <w:rPr>
          <w:rFonts w:asciiTheme="minorHAnsi" w:hAnsiTheme="minorHAnsi" w:cstheme="minorHAnsi"/>
          <w:sz w:val="20"/>
          <w:szCs w:val="20"/>
        </w:rPr>
        <w:t xml:space="preserve"> są parametrami granicznymi, których nie spełnienie spowoduje odrzucenie oferty. Brak opisu w kolumnie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E372FE">
        <w:rPr>
          <w:rFonts w:asciiTheme="minorHAnsi" w:hAnsiTheme="minorHAnsi" w:cstheme="minorHAnsi"/>
          <w:sz w:val="20"/>
          <w:szCs w:val="20"/>
        </w:rPr>
        <w:t xml:space="preserve"> będzie traktowany jako brak danego parametru w oferowanej konfiguracji urządzeń.    </w:t>
      </w:r>
    </w:p>
    <w:p w14:paraId="41D04381" w14:textId="77777777" w:rsidR="00523E03" w:rsidRDefault="00523E03">
      <w:pPr>
        <w:tabs>
          <w:tab w:val="left" w:pos="6840"/>
        </w:tabs>
      </w:pPr>
    </w:p>
    <w:p w14:paraId="6DBA85B3" w14:textId="77777777" w:rsidR="00523E03" w:rsidRDefault="00523E03">
      <w:pPr>
        <w:tabs>
          <w:tab w:val="left" w:pos="6840"/>
        </w:tabs>
      </w:pPr>
    </w:p>
    <w:p w14:paraId="620B67D8" w14:textId="77777777" w:rsidR="00E7180A" w:rsidRPr="00E7180A" w:rsidRDefault="00E7180A" w:rsidP="00E7180A">
      <w:pPr>
        <w:keepLines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>w.w</w:t>
      </w:r>
      <w:proofErr w:type="spellEnd"/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>. podpisem może skutkować naruszeniem integralności podpisu, a w konsekwencji skutkować odrzuceniem oferty.</w:t>
      </w:r>
    </w:p>
    <w:p w14:paraId="61BB1B19" w14:textId="77777777" w:rsidR="00E7180A" w:rsidRDefault="00E7180A">
      <w:pPr>
        <w:tabs>
          <w:tab w:val="left" w:pos="6840"/>
        </w:tabs>
      </w:pPr>
    </w:p>
    <w:sectPr w:rsidR="00E7180A" w:rsidSect="00B74E33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1D3C"/>
    <w:multiLevelType w:val="multilevel"/>
    <w:tmpl w:val="44A6121E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b w:val="0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7D0A60"/>
    <w:multiLevelType w:val="hybridMultilevel"/>
    <w:tmpl w:val="D3560300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DB25FD4">
      <w:start w:val="12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DF7AE1E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20BA"/>
    <w:multiLevelType w:val="multilevel"/>
    <w:tmpl w:val="8EA024F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A406D8"/>
    <w:multiLevelType w:val="multilevel"/>
    <w:tmpl w:val="2984FF82"/>
    <w:lvl w:ilvl="0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C6B4938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4B5E"/>
    <w:multiLevelType w:val="multilevel"/>
    <w:tmpl w:val="4376888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EB36FD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68969">
    <w:abstractNumId w:val="2"/>
  </w:num>
  <w:num w:numId="2" w16cid:durableId="1885096145">
    <w:abstractNumId w:val="3"/>
  </w:num>
  <w:num w:numId="3" w16cid:durableId="306327697">
    <w:abstractNumId w:val="4"/>
  </w:num>
  <w:num w:numId="4" w16cid:durableId="558906124">
    <w:abstractNumId w:val="0"/>
  </w:num>
  <w:num w:numId="5" w16cid:durableId="238445452">
    <w:abstractNumId w:val="6"/>
  </w:num>
  <w:num w:numId="6" w16cid:durableId="433479388">
    <w:abstractNumId w:val="5"/>
  </w:num>
  <w:num w:numId="7" w16cid:durableId="2107965601">
    <w:abstractNumId w:val="5"/>
  </w:num>
  <w:num w:numId="8" w16cid:durableId="163074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C51"/>
    <w:rsid w:val="00052B22"/>
    <w:rsid w:val="00055623"/>
    <w:rsid w:val="000679E3"/>
    <w:rsid w:val="000F0346"/>
    <w:rsid w:val="000F4505"/>
    <w:rsid w:val="00124083"/>
    <w:rsid w:val="001364A1"/>
    <w:rsid w:val="00170AC3"/>
    <w:rsid w:val="001A5464"/>
    <w:rsid w:val="00291821"/>
    <w:rsid w:val="002967B9"/>
    <w:rsid w:val="002A3E1B"/>
    <w:rsid w:val="002C45A8"/>
    <w:rsid w:val="002E2973"/>
    <w:rsid w:val="003160C8"/>
    <w:rsid w:val="00340147"/>
    <w:rsid w:val="00375876"/>
    <w:rsid w:val="004001E6"/>
    <w:rsid w:val="00411D30"/>
    <w:rsid w:val="00412E54"/>
    <w:rsid w:val="0045081F"/>
    <w:rsid w:val="004D0DD8"/>
    <w:rsid w:val="004F3022"/>
    <w:rsid w:val="00523E03"/>
    <w:rsid w:val="0053420C"/>
    <w:rsid w:val="00540056"/>
    <w:rsid w:val="0056759D"/>
    <w:rsid w:val="005754D9"/>
    <w:rsid w:val="00597238"/>
    <w:rsid w:val="00597ED9"/>
    <w:rsid w:val="005D37A3"/>
    <w:rsid w:val="005F341A"/>
    <w:rsid w:val="005F6331"/>
    <w:rsid w:val="006906E3"/>
    <w:rsid w:val="00697514"/>
    <w:rsid w:val="006A1C51"/>
    <w:rsid w:val="006A45CB"/>
    <w:rsid w:val="006B28DE"/>
    <w:rsid w:val="006B4929"/>
    <w:rsid w:val="006C6B83"/>
    <w:rsid w:val="007034E8"/>
    <w:rsid w:val="00743789"/>
    <w:rsid w:val="00772168"/>
    <w:rsid w:val="00796646"/>
    <w:rsid w:val="007F497C"/>
    <w:rsid w:val="008344A4"/>
    <w:rsid w:val="00836B0E"/>
    <w:rsid w:val="0084532B"/>
    <w:rsid w:val="008576BB"/>
    <w:rsid w:val="00876C7B"/>
    <w:rsid w:val="008C0076"/>
    <w:rsid w:val="008C3076"/>
    <w:rsid w:val="008F38A7"/>
    <w:rsid w:val="00925DBC"/>
    <w:rsid w:val="009323C7"/>
    <w:rsid w:val="0093447A"/>
    <w:rsid w:val="009674C9"/>
    <w:rsid w:val="009B3E5A"/>
    <w:rsid w:val="009E15AF"/>
    <w:rsid w:val="00A01B03"/>
    <w:rsid w:val="00A2213E"/>
    <w:rsid w:val="00A7139F"/>
    <w:rsid w:val="00A718A6"/>
    <w:rsid w:val="00A83B85"/>
    <w:rsid w:val="00AA4B08"/>
    <w:rsid w:val="00AA62CC"/>
    <w:rsid w:val="00AF32B0"/>
    <w:rsid w:val="00AF6BA0"/>
    <w:rsid w:val="00B1027C"/>
    <w:rsid w:val="00B33576"/>
    <w:rsid w:val="00B74E33"/>
    <w:rsid w:val="00B854EC"/>
    <w:rsid w:val="00B95F97"/>
    <w:rsid w:val="00BC28C5"/>
    <w:rsid w:val="00C45240"/>
    <w:rsid w:val="00C56AE2"/>
    <w:rsid w:val="00C60549"/>
    <w:rsid w:val="00CE7C6F"/>
    <w:rsid w:val="00CF0A37"/>
    <w:rsid w:val="00D109E0"/>
    <w:rsid w:val="00D35033"/>
    <w:rsid w:val="00D45DD5"/>
    <w:rsid w:val="00D51266"/>
    <w:rsid w:val="00D84291"/>
    <w:rsid w:val="00E32471"/>
    <w:rsid w:val="00E372FE"/>
    <w:rsid w:val="00E63F61"/>
    <w:rsid w:val="00E7180A"/>
    <w:rsid w:val="00E82CF9"/>
    <w:rsid w:val="00E84DFF"/>
    <w:rsid w:val="00EB2399"/>
    <w:rsid w:val="00EF1532"/>
    <w:rsid w:val="00F52E57"/>
    <w:rsid w:val="00F709A9"/>
    <w:rsid w:val="00F9027C"/>
    <w:rsid w:val="00FB5735"/>
    <w:rsid w:val="00FB6849"/>
    <w:rsid w:val="00FE0BC8"/>
    <w:rsid w:val="00FE1DA4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3785"/>
  <w15:docId w15:val="{47B1C2CC-0C9C-4C31-A59F-B2315AA2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link w:val="AkapitzlistZnak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2E297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2E2973"/>
  </w:style>
  <w:style w:type="paragraph" w:customStyle="1" w:styleId="Standard">
    <w:name w:val="Standard"/>
    <w:rsid w:val="002E2973"/>
    <w:pPr>
      <w:suppressAutoHyphens/>
      <w:autoSpaceDN w:val="0"/>
      <w:textAlignment w:val="baseline"/>
    </w:pPr>
    <w:rPr>
      <w:rFonts w:ascii="Calibri" w:eastAsia="Roboto" w:hAnsi="Calibri" w:cs="Droid Sans Devanagari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8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876"/>
    <w:rPr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876"/>
    <w:rPr>
      <w:b/>
      <w:bCs/>
      <w:color w:val="00000A"/>
      <w:lang w:eastAsia="ar-SA"/>
    </w:rPr>
  </w:style>
  <w:style w:type="numbering" w:customStyle="1" w:styleId="WWNum6">
    <w:name w:val="WWNum6"/>
    <w:basedOn w:val="Bezlisty"/>
    <w:rsid w:val="00523E03"/>
    <w:pPr>
      <w:numPr>
        <w:numId w:val="6"/>
      </w:numPr>
    </w:p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523E03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1852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Monika</dc:creator>
  <cp:lastModifiedBy>Wojciechowska Monika</cp:lastModifiedBy>
  <cp:revision>26</cp:revision>
  <cp:lastPrinted>2024-01-08T08:01:00Z</cp:lastPrinted>
  <dcterms:created xsi:type="dcterms:W3CDTF">2024-03-11T14:30:00Z</dcterms:created>
  <dcterms:modified xsi:type="dcterms:W3CDTF">2024-12-10T13:24:00Z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