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0"/>
        </w:tabs>
        <w:spacing w:line="38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Miechów, dnia 29.07.2022 r.</w:t>
      </w:r>
    </w:p>
    <w:p>
      <w:pPr>
        <w:spacing w:line="38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Starostwo Powiatowe w Miechowie</w:t>
      </w:r>
    </w:p>
    <w:p>
      <w:pPr>
        <w:spacing w:line="38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Racławicka 12, 32-200 Miechów</w:t>
      </w:r>
    </w:p>
    <w:p>
      <w:pPr>
        <w:pStyle w:val="2"/>
        <w:numPr>
          <w:ilvl w:val="0"/>
          <w:numId w:val="0"/>
        </w:numPr>
        <w:spacing w:line="380" w:lineRule="exact"/>
        <w:ind w:left="7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Informacja z otwarcia ofert</w:t>
      </w:r>
    </w:p>
    <w:p>
      <w:pPr>
        <w:spacing w:line="380" w:lineRule="exact"/>
        <w:rPr>
          <w:rStyle w:val="8"/>
          <w:rFonts w:asciiTheme="minorHAnsi" w:hAnsiTheme="minorHAnsi" w:cstheme="minorHAnsi"/>
          <w:szCs w:val="24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Nazwa zamówienia</w:t>
      </w:r>
      <w:r>
        <w:rPr>
          <w:rStyle w:val="8"/>
          <w:rFonts w:asciiTheme="minorHAnsi" w:hAnsiTheme="minorHAnsi" w:cstheme="minorHAnsi"/>
          <w:szCs w:val="24"/>
        </w:rPr>
        <w:t>: „Nadzór nad prawidłowym wykonaniem zadania Dostawa baz danych BDOT500 i GESUT dla jednostki ewidencyjnej 120802_2 Gołcza”</w:t>
      </w:r>
    </w:p>
    <w:p>
      <w:p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 xml:space="preserve">Numer postępowania </w:t>
      </w:r>
      <w:r>
        <w:rPr>
          <w:rFonts w:asciiTheme="minorHAnsi" w:hAnsiTheme="minorHAnsi" w:eastAsiaTheme="minorHAnsi" w:cstheme="minorHAnsi"/>
          <w:b/>
          <w:sz w:val="24"/>
          <w:szCs w:val="24"/>
          <w:lang w:eastAsia="en-US"/>
        </w:rPr>
        <w:t>Or.272.7.2022</w:t>
      </w:r>
    </w:p>
    <w:p>
      <w:p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 xml:space="preserve">Tryb postępowania: PL - </w:t>
      </w:r>
      <w:r>
        <w:rPr>
          <w:rFonts w:asciiTheme="minorHAnsi" w:hAnsiTheme="minorHAnsi" w:eastAsiaTheme="minorHAnsi" w:cstheme="minorHAnsi"/>
          <w:b/>
          <w:sz w:val="24"/>
          <w:szCs w:val="24"/>
          <w:lang w:eastAsia="en-US"/>
        </w:rPr>
        <w:t>Tryb Podstawowy (art. 275 ustawy PZP)</w:t>
      </w:r>
    </w:p>
    <w:p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 xml:space="preserve">Link do postępowania: </w:t>
      </w:r>
      <w:r>
        <w:rPr>
          <w:rFonts w:asciiTheme="minorHAnsi" w:hAnsiTheme="minorHAnsi" w:eastAsiaTheme="minorHAnsi" w:cstheme="minorHAnsi"/>
          <w:b/>
          <w:sz w:val="24"/>
          <w:szCs w:val="24"/>
          <w:lang w:eastAsia="en-US"/>
        </w:rPr>
        <w:t>https://platformazakupowa.pl/transakcja/642487</w:t>
      </w:r>
    </w:p>
    <w:p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Działając na mocy art. 222 ustawy z 11 września 2019 r. – Prawo zamówień publicznych, zwanej dalej ustawą Pzp, (Dz. U. z 2021 r. poz. 1129 z późn. zmianami)</w:t>
      </w: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br w:type="textWrapping"/>
      </w: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Zamawiający zawiadamia, że:</w:t>
      </w:r>
    </w:p>
    <w:p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Otwarcie ofert odbyło się w dniu 29.07.2022 r. o godz. 09:05:00 w Starostwie Powiatowym w Miechowie.</w:t>
      </w:r>
    </w:p>
    <w:p>
      <w:pPr>
        <w:suppressAutoHyphens w:val="0"/>
        <w:autoSpaceDE w:val="0"/>
        <w:autoSpaceDN w:val="0"/>
        <w:adjustRightInd w:val="0"/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>
      <w:pPr>
        <w:pStyle w:val="3"/>
        <w:spacing w:line="380" w:lineRule="exact"/>
        <w:rPr>
          <w:rFonts w:asciiTheme="minorHAnsi" w:hAnsiTheme="minorHAnsi" w:cstheme="minorHAnsi"/>
          <w:szCs w:val="24"/>
        </w:rPr>
      </w:pPr>
      <w:bookmarkStart w:id="0" w:name="_Hlk67487614"/>
      <w:r>
        <w:rPr>
          <w:rFonts w:asciiTheme="minorHAnsi" w:hAnsiTheme="minorHAnsi" w:cstheme="minorHAnsi"/>
          <w:szCs w:val="24"/>
        </w:rPr>
        <w:t>IT GEODEZJA Sp. z o. o., ul. Obornicka 330, 60-689 Poznań, REGON: 38415204, NIP: 9721302807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24 790,00 zł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p>
      <w:pPr>
        <w:pStyle w:val="3"/>
        <w:spacing w:line="380" w:lineRule="exact"/>
        <w:rPr>
          <w:rFonts w:asciiTheme="minorHAnsi" w:hAnsiTheme="minorHAnsi" w:eastAsiaTheme="minorHAnsi" w:cstheme="minorHAnsi"/>
          <w:szCs w:val="24"/>
          <w:lang w:eastAsia="en-US"/>
        </w:rPr>
      </w:pPr>
      <w:r>
        <w:rPr>
          <w:rFonts w:asciiTheme="minorHAnsi" w:hAnsiTheme="minorHAnsi" w:eastAsiaTheme="minorHAnsi" w:cstheme="minorHAnsi"/>
          <w:szCs w:val="24"/>
          <w:lang w:eastAsia="en-US"/>
        </w:rPr>
        <w:t>GO4GEO Piotr Posłuszny, ul. Grota Roweckiego 32, 55-200 Oława, REGON: 022334965, NIP:8671880601</w:t>
      </w:r>
    </w:p>
    <w:p>
      <w:pPr>
        <w:pStyle w:val="9"/>
        <w:numPr>
          <w:ilvl w:val="0"/>
          <w:numId w:val="4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16 300,00 zł</w:t>
      </w:r>
    </w:p>
    <w:p>
      <w:pPr>
        <w:pStyle w:val="9"/>
        <w:numPr>
          <w:ilvl w:val="0"/>
          <w:numId w:val="4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3 nadzory</w:t>
      </w:r>
    </w:p>
    <w:p>
      <w:pPr>
        <w:pStyle w:val="3"/>
        <w:spacing w:line="380" w:lineRule="exact"/>
        <w:rPr>
          <w:rFonts w:asciiTheme="minorHAnsi" w:hAnsiTheme="minorHAnsi" w:eastAsiaTheme="minorHAnsi" w:cstheme="minorHAnsi"/>
          <w:szCs w:val="24"/>
          <w:lang w:eastAsia="en-US"/>
        </w:rPr>
      </w:pPr>
      <w:bookmarkStart w:id="2" w:name="_GoBack"/>
      <w:bookmarkEnd w:id="2"/>
      <w:r>
        <w:rPr>
          <w:rFonts w:asciiTheme="minorHAnsi" w:hAnsiTheme="minorHAnsi" w:eastAsiaTheme="minorHAnsi" w:cstheme="minorHAnsi"/>
          <w:szCs w:val="24"/>
          <w:lang w:eastAsia="en-US"/>
        </w:rPr>
        <w:t>Geores sp. z o.o., ul. Targowa 3,35-064 Rzeszów, REGON: 690020005, NIP: 8130333566</w:t>
      </w:r>
    </w:p>
    <w:p>
      <w:pPr>
        <w:pStyle w:val="9"/>
        <w:numPr>
          <w:ilvl w:val="0"/>
          <w:numId w:val="4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11 316,00 zł</w:t>
      </w:r>
    </w:p>
    <w:p>
      <w:pPr>
        <w:pStyle w:val="9"/>
        <w:numPr>
          <w:ilvl w:val="0"/>
          <w:numId w:val="4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bookmarkEnd w:id="0"/>
    <w:p>
      <w:pPr>
        <w:pStyle w:val="3"/>
        <w:spacing w:line="380" w:lineRule="exact"/>
        <w:rPr>
          <w:rFonts w:asciiTheme="minorHAnsi" w:hAnsiTheme="minorHAnsi" w:eastAsiaTheme="minorHAnsi" w:cstheme="minorHAnsi"/>
          <w:szCs w:val="24"/>
          <w:lang w:eastAsia="en-US"/>
        </w:rPr>
      </w:pPr>
      <w:r>
        <w:rPr>
          <w:rFonts w:asciiTheme="minorHAnsi" w:hAnsiTheme="minorHAnsi" w:eastAsiaTheme="minorHAnsi" w:cstheme="minorHAnsi"/>
          <w:szCs w:val="24"/>
          <w:lang w:eastAsia="en-US"/>
        </w:rPr>
        <w:t>OPEGIEKA sp. z o.o., Aleja Tysiąclecia 11, 82-300 Elbląg, REGON: 001364260, NIP:5780004498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14 760,00 zł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p>
      <w:pPr>
        <w:pStyle w:val="3"/>
        <w:spacing w:line="380" w:lineRule="exact"/>
        <w:rPr>
          <w:rFonts w:asciiTheme="minorHAnsi" w:hAnsiTheme="minorHAnsi" w:cstheme="minorHAnsi"/>
          <w:szCs w:val="24"/>
        </w:rPr>
      </w:pPr>
      <w:bookmarkStart w:id="1" w:name="_Hlk67487534"/>
      <w:r>
        <w:rPr>
          <w:rFonts w:asciiTheme="minorHAnsi" w:hAnsiTheme="minorHAnsi" w:cstheme="minorHAnsi"/>
          <w:szCs w:val="24"/>
        </w:rPr>
        <w:t>OPGK Rzeszów S.A., ul. Geodetów 1, 35-328 Rzeszów, REGON: 690034071, NIP: 8130333537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28 290,00 zł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p>
      <w:pPr>
        <w:pStyle w:val="3"/>
        <w:spacing w:line="3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ULP Spółka z ograniczoną odpowiedzialnością, ul. Noniewicza 85F lok. 3, 16 – 400 Suwałki, REGON: 200804436, NIP: 8442352266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Cena brutto (60%): 29 900,00 zł</w:t>
      </w:r>
    </w:p>
    <w:p>
      <w:pPr>
        <w:pStyle w:val="9"/>
        <w:numPr>
          <w:ilvl w:val="0"/>
          <w:numId w:val="3"/>
        </w:numPr>
        <w:spacing w:line="380" w:lineRule="exac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</w:rPr>
        <w:t>doświadczenie osoby w sprawowaniu nadzoru (40 %): 6 nadzorów</w:t>
      </w:r>
    </w:p>
    <w:bookmarkEnd w:id="1"/>
    <w:p>
      <w:pPr>
        <w:spacing w:line="380" w:lineRule="exact"/>
        <w:jc w:val="righ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 xml:space="preserve">Sekretarz Powiatu </w:t>
      </w:r>
    </w:p>
    <w:p>
      <w:pPr>
        <w:spacing w:line="380" w:lineRule="exact"/>
        <w:jc w:val="right"/>
        <w:rPr>
          <w:rFonts w:asciiTheme="minorHAnsi" w:hAnsiTheme="minorHAnsi" w:eastAsiaTheme="minorHAnsi" w:cstheme="minorHAnsi"/>
          <w:sz w:val="24"/>
          <w:szCs w:val="24"/>
          <w:lang w:eastAsia="en-US"/>
        </w:rPr>
      </w:pPr>
      <w:r>
        <w:rPr>
          <w:rFonts w:asciiTheme="minorHAnsi" w:hAnsiTheme="minorHAnsi" w:eastAsiaTheme="minorHAnsi" w:cstheme="minorHAnsi"/>
          <w:sz w:val="24"/>
          <w:szCs w:val="24"/>
          <w:lang w:eastAsia="en-US"/>
        </w:rPr>
        <w:t>Maria Sztuk</w:t>
      </w:r>
    </w:p>
    <w:sectPr>
      <w:footerReference r:id="rId5" w:type="default"/>
      <w:pgSz w:w="11906" w:h="16838"/>
      <w:pgMar w:top="426" w:right="849" w:bottom="284" w:left="993" w:header="708" w:footer="53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839A8"/>
    <w:multiLevelType w:val="multilevel"/>
    <w:tmpl w:val="02E839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0DC8"/>
    <w:multiLevelType w:val="multilevel"/>
    <w:tmpl w:val="3C280D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0A707D"/>
    <w:multiLevelType w:val="multilevel"/>
    <w:tmpl w:val="650A707D"/>
    <w:lvl w:ilvl="0" w:tentative="0">
      <w:start w:val="1"/>
      <w:numFmt w:val="decimal"/>
      <w:pStyle w:val="3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36F7"/>
    <w:multiLevelType w:val="multilevel"/>
    <w:tmpl w:val="6E4936F7"/>
    <w:lvl w:ilvl="0" w:tentative="0">
      <w:start w:val="1"/>
      <w:numFmt w:val="upperRoman"/>
      <w:pStyle w:val="2"/>
      <w:lvlText w:val="%1."/>
      <w:lvlJc w:val="right"/>
      <w:pPr>
        <w:ind w:left="717" w:hanging="36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7"/>
    <w:rsid w:val="000345D5"/>
    <w:rsid w:val="00096323"/>
    <w:rsid w:val="000A439B"/>
    <w:rsid w:val="00127450"/>
    <w:rsid w:val="00176CAE"/>
    <w:rsid w:val="001B680E"/>
    <w:rsid w:val="002057E1"/>
    <w:rsid w:val="00260D42"/>
    <w:rsid w:val="00280C18"/>
    <w:rsid w:val="002B62BD"/>
    <w:rsid w:val="00352DB8"/>
    <w:rsid w:val="00384206"/>
    <w:rsid w:val="003E4327"/>
    <w:rsid w:val="00406582"/>
    <w:rsid w:val="00432DEF"/>
    <w:rsid w:val="004F64B0"/>
    <w:rsid w:val="0054574A"/>
    <w:rsid w:val="00577785"/>
    <w:rsid w:val="005D1811"/>
    <w:rsid w:val="00693898"/>
    <w:rsid w:val="006A4BCA"/>
    <w:rsid w:val="006F50CF"/>
    <w:rsid w:val="00727B45"/>
    <w:rsid w:val="007818D8"/>
    <w:rsid w:val="00811611"/>
    <w:rsid w:val="00835108"/>
    <w:rsid w:val="00861094"/>
    <w:rsid w:val="008A7827"/>
    <w:rsid w:val="00911EB2"/>
    <w:rsid w:val="00925226"/>
    <w:rsid w:val="0099360E"/>
    <w:rsid w:val="009C5D94"/>
    <w:rsid w:val="00A33A6E"/>
    <w:rsid w:val="00A4206F"/>
    <w:rsid w:val="00AD6229"/>
    <w:rsid w:val="00AD62A7"/>
    <w:rsid w:val="00B410D7"/>
    <w:rsid w:val="00B64D7E"/>
    <w:rsid w:val="00B86F77"/>
    <w:rsid w:val="00BA624A"/>
    <w:rsid w:val="00C01197"/>
    <w:rsid w:val="00CD2D07"/>
    <w:rsid w:val="00CF5C8C"/>
    <w:rsid w:val="00D23425"/>
    <w:rsid w:val="00D34750"/>
    <w:rsid w:val="00E473E4"/>
    <w:rsid w:val="00E62D5D"/>
    <w:rsid w:val="00EA2078"/>
    <w:rsid w:val="00EB31B4"/>
    <w:rsid w:val="00EE5EF1"/>
    <w:rsid w:val="00EE78EB"/>
    <w:rsid w:val="00F13648"/>
    <w:rsid w:val="00F76E08"/>
    <w:rsid w:val="00F77B51"/>
    <w:rsid w:val="00F86712"/>
    <w:rsid w:val="00FB27CC"/>
    <w:rsid w:val="2C8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Calibri" w:cs="Times New Roman"/>
      <w:sz w:val="20"/>
      <w:szCs w:val="20"/>
      <w:lang w:val="pl-PL" w:eastAsia="ar-SA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numPr>
        <w:ilvl w:val="0"/>
        <w:numId w:val="2"/>
      </w:numPr>
      <w:spacing w:line="360" w:lineRule="auto"/>
      <w:ind w:left="357" w:hanging="357"/>
      <w:outlineLvl w:val="1"/>
    </w:pPr>
    <w:rPr>
      <w:rFonts w:ascii="Calibri" w:hAnsi="Calibri" w:eastAsiaTheme="majorEastAsia" w:cstheme="majorBidi"/>
      <w:b/>
      <w:bCs/>
      <w:sz w:val="24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character" w:customStyle="1" w:styleId="8">
    <w:name w:val="Nagłówek 1 Znak"/>
    <w:basedOn w:val="4"/>
    <w:link w:val="2"/>
    <w:qFormat/>
    <w:uiPriority w:val="0"/>
    <w:rPr>
      <w:rFonts w:ascii="Calibri" w:hAnsi="Calibri" w:eastAsia="Calibri" w:cs="Times New Roman"/>
      <w:b/>
      <w:sz w:val="24"/>
      <w:szCs w:val="20"/>
      <w:lang w:eastAsia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Nagłówek 2 Znak"/>
    <w:basedOn w:val="4"/>
    <w:link w:val="3"/>
    <w:uiPriority w:val="9"/>
    <w:rPr>
      <w:rFonts w:ascii="Calibri" w:hAnsi="Calibri" w:eastAsiaTheme="majorEastAsia" w:cstheme="majorBidi"/>
      <w:b/>
      <w:bCs/>
      <w:sz w:val="24"/>
      <w:szCs w:val="26"/>
      <w:lang w:eastAsia="ar-SA"/>
    </w:rPr>
  </w:style>
  <w:style w:type="character" w:customStyle="1" w:styleId="11">
    <w:name w:val="Nagłówek Znak"/>
    <w:basedOn w:val="4"/>
    <w:link w:val="7"/>
    <w:uiPriority w:val="99"/>
    <w:rPr>
      <w:rFonts w:ascii="Times New Roman" w:hAnsi="Times New Roman" w:eastAsia="Calibri" w:cs="Times New Roman"/>
      <w:sz w:val="20"/>
      <w:szCs w:val="20"/>
      <w:lang w:eastAsia="ar-SA"/>
    </w:rPr>
  </w:style>
  <w:style w:type="character" w:customStyle="1" w:styleId="12">
    <w:name w:val="Stopka Znak"/>
    <w:basedOn w:val="4"/>
    <w:link w:val="6"/>
    <w:uiPriority w:val="99"/>
    <w:rPr>
      <w:rFonts w:ascii="Times New Roman" w:hAnsi="Times New Roman" w:eastAsia="Calibri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F6D6-F52D-4F0A-A6B3-73A4620B8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1830</Characters>
  <Lines>15</Lines>
  <Paragraphs>4</Paragraphs>
  <TotalTime>75</TotalTime>
  <ScaleCrop>false</ScaleCrop>
  <LinksUpToDate>false</LinksUpToDate>
  <CharactersWithSpaces>2130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2022-07-18T11:21:00Z</dcterms:created>
  <dc:creator>Magdalena Oczkowicz</dc:creator>
  <cp:keywords>informacja; otwarcieofert Or.272.9.2022</cp:keywords>
  <cp:lastModifiedBy>Michal</cp:lastModifiedBy>
  <cp:lastPrinted>2022-07-29T08:38:00Z</cp:lastPrinted>
  <dcterms:modified xsi:type="dcterms:W3CDTF">2022-07-29T11:49:38Z</dcterms:modified>
  <dc:title>informacja z otwarcia ofert Or.272.9.2022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17898E85692745DE8D4DA7393B45487A</vt:lpwstr>
  </property>
</Properties>
</file>