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25419436"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10718E">
        <w:rPr>
          <w:rFonts w:ascii="Cambria" w:hAnsi="Cambria"/>
        </w:rPr>
        <w:t>4</w:t>
      </w:r>
      <w:r w:rsidR="00B972C4">
        <w:rPr>
          <w:rFonts w:ascii="Cambria" w:hAnsi="Cambria"/>
        </w:rPr>
        <w:t>/202</w:t>
      </w:r>
      <w:r w:rsidR="0010718E">
        <w:rPr>
          <w:rFonts w:ascii="Cambria" w:hAnsi="Cambria"/>
        </w:rPr>
        <w:t>5</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7AD5FCF7"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0718E">
        <w:rPr>
          <w:rFonts w:asciiTheme="majorHAnsi" w:eastAsiaTheme="majorEastAsia" w:hAnsiTheme="majorHAnsi" w:cs="Arial"/>
          <w:lang w:eastAsia="en-US"/>
        </w:rPr>
        <w:t xml:space="preserve">z 2024 </w:t>
      </w:r>
      <w:r w:rsidR="00F04544" w:rsidRPr="00773D17">
        <w:rPr>
          <w:rFonts w:asciiTheme="majorHAnsi" w:eastAsiaTheme="majorEastAsia" w:hAnsiTheme="majorHAnsi" w:cs="Arial"/>
          <w:lang w:eastAsia="en-US"/>
        </w:rPr>
        <w:t xml:space="preserve">poz. </w:t>
      </w:r>
      <w:r w:rsidR="0010718E">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3C36A1C7"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008F1992">
        <w:rPr>
          <w:rFonts w:asciiTheme="majorHAnsi" w:hAnsiTheme="majorHAnsi"/>
          <w:lang w:eastAsia="ar-SA"/>
        </w:rPr>
        <w:t>Ki</w:t>
      </w:r>
      <w:r w:rsidRPr="005F5561">
        <w:rPr>
          <w:rFonts w:asciiTheme="majorHAnsi" w:hAnsiTheme="majorHAnsi"/>
          <w:lang w:eastAsia="ar-SA"/>
        </w:rPr>
        <w:t>erownik</w:t>
      </w:r>
      <w:r w:rsidR="0010718E">
        <w:rPr>
          <w:rFonts w:asciiTheme="majorHAnsi" w:hAnsiTheme="majorHAnsi"/>
          <w:lang w:eastAsia="ar-SA"/>
        </w:rPr>
        <w:t xml:space="preserve"> </w:t>
      </w:r>
      <w:r w:rsidRPr="005F5561">
        <w:rPr>
          <w:rFonts w:asciiTheme="majorHAnsi" w:hAnsiTheme="majorHAnsi"/>
          <w:lang w:eastAsia="ar-SA"/>
        </w:rPr>
        <w:t>Zarządu Dróg Powiatowych:</w:t>
      </w:r>
    </w:p>
    <w:p w14:paraId="2EFA6003" w14:textId="0479F2AE"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w:t>
      </w:r>
      <w:r w:rsidR="0010718E">
        <w:rPr>
          <w:rFonts w:asciiTheme="majorHAnsi" w:hAnsiTheme="majorHAnsi"/>
          <w:lang w:eastAsia="ar-SA"/>
        </w:rPr>
        <w:t>Bartosz Kowalski</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07FFC2CD" w:rsidR="00165D6A" w:rsidRPr="00165D6A" w:rsidRDefault="00FC1651"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1F1B9F">
        <w:rPr>
          <w:rFonts w:asciiTheme="majorHAnsi" w:eastAsiaTheme="majorEastAsia" w:hAnsiTheme="majorHAnsi" w:cs="Arial"/>
          <w:bCs/>
          <w:lang w:eastAsia="en-US"/>
        </w:rPr>
        <w:t>, 202</w:t>
      </w:r>
      <w:r w:rsidR="0010718E">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67BA3D"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w:t>
      </w:r>
      <w:r w:rsidR="009F6FA2">
        <w:rPr>
          <w:rFonts w:ascii="Cambria" w:eastAsiaTheme="majorEastAsia" w:hAnsi="Cambria" w:cs="Arial"/>
          <w:lang w:eastAsia="en-US"/>
        </w:rPr>
        <w:t xml:space="preserve">Dz.U. z </w:t>
      </w:r>
      <w:r w:rsidR="0010718E">
        <w:rPr>
          <w:rFonts w:ascii="Cambria" w:eastAsiaTheme="majorEastAsia" w:hAnsi="Cambria" w:cs="Arial"/>
          <w:lang w:eastAsia="en-US"/>
        </w:rPr>
        <w:t>2024</w:t>
      </w:r>
      <w:r w:rsidR="009F6FA2">
        <w:rPr>
          <w:rFonts w:ascii="Cambria" w:eastAsiaTheme="majorEastAsia" w:hAnsi="Cambria" w:cs="Arial"/>
          <w:lang w:eastAsia="en-US"/>
        </w:rPr>
        <w:t xml:space="preserve"> poz. 1</w:t>
      </w:r>
      <w:r w:rsidR="0010718E">
        <w:rPr>
          <w:rFonts w:ascii="Cambria" w:eastAsiaTheme="majorEastAsia" w:hAnsi="Cambria" w:cs="Arial"/>
          <w:lang w:eastAsia="en-US"/>
        </w:rPr>
        <w:t>320</w:t>
      </w:r>
      <w:r w:rsidRPr="003C70F6">
        <w:rPr>
          <w:rFonts w:ascii="Cambria" w:eastAsiaTheme="majorEastAsia" w:hAnsi="Cambria" w:cs="Arial"/>
          <w:lang w:eastAsia="en-US"/>
        </w:rPr>
        <w:t>)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1256F60D" w14:textId="77777777" w:rsidR="009F6FA2" w:rsidRPr="001C6495" w:rsidRDefault="009F6FA2" w:rsidP="009F6FA2">
      <w:pPr>
        <w:pStyle w:val="Akapitzlist"/>
        <w:numPr>
          <w:ilvl w:val="0"/>
          <w:numId w:val="29"/>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392C51FD"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6718C5">
        <w:rPr>
          <w:rFonts w:ascii="Cambria" w:hAnsi="Cambria"/>
          <w:b/>
        </w:rPr>
        <w:t>7</w:t>
      </w:r>
      <w:r w:rsidRPr="003C70F6">
        <w:rPr>
          <w:rFonts w:ascii="Cambria" w:hAnsi="Cambria"/>
          <w:b/>
        </w:rPr>
        <w:t xml:space="preserve"> do SWZ</w:t>
      </w:r>
      <w:r w:rsidRPr="003C70F6">
        <w:rPr>
          <w:rFonts w:ascii="Cambria" w:hAnsi="Cambria"/>
        </w:rPr>
        <w:t xml:space="preserve">. </w:t>
      </w:r>
    </w:p>
    <w:p w14:paraId="354F3F37" w14:textId="47C59D0A"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0ABDF3A2"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10718E">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5ABAE363"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w:t>
      </w:r>
      <w:r w:rsidR="0023213A">
        <w:rPr>
          <w:rFonts w:asciiTheme="majorHAnsi" w:eastAsia="Calibri" w:hAnsiTheme="majorHAnsi" w:cs="Calibri"/>
        </w:rPr>
        <w:t>21 maja 2024</w:t>
      </w:r>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B0B18">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B0B18">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B0B18">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3EBDFC4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F4D7120"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6718C5">
        <w:rPr>
          <w:rFonts w:asciiTheme="majorHAnsi" w:eastAsiaTheme="majorEastAsia" w:hAnsiTheme="majorHAnsi" w:cstheme="majorBidi"/>
          <w:b/>
          <w:lang w:eastAsia="en-US"/>
        </w:rPr>
        <w:t>9</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8C59004"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w:t>
      </w:r>
      <w:r w:rsidR="006718C5">
        <w:rPr>
          <w:rFonts w:asciiTheme="majorHAnsi" w:eastAsiaTheme="majorEastAsia" w:hAnsiTheme="majorHAnsi" w:cstheme="majorBidi"/>
          <w:b/>
          <w:lang w:eastAsia="en-US"/>
        </w:rPr>
        <w:t>0</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D93EB3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10718E">
        <w:rPr>
          <w:rFonts w:asciiTheme="majorHAnsi" w:hAnsiTheme="majorHAnsi" w:cstheme="majorBidi"/>
          <w:b/>
          <w:highlight w:val="lightGray"/>
          <w:lang w:eastAsia="en-US"/>
        </w:rPr>
        <w:t xml:space="preserve">z 2024 </w:t>
      </w:r>
      <w:r w:rsidRPr="00773D17">
        <w:rPr>
          <w:rFonts w:asciiTheme="majorHAnsi" w:hAnsiTheme="majorHAnsi" w:cstheme="majorBidi"/>
          <w:b/>
          <w:highlight w:val="lightGray"/>
          <w:lang w:eastAsia="en-US"/>
        </w:rPr>
        <w:t xml:space="preserve">poz. </w:t>
      </w:r>
      <w:r w:rsidR="0010718E">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4B4E125D"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10718E">
        <w:rPr>
          <w:rFonts w:asciiTheme="majorHAnsi" w:hAnsiTheme="majorHAnsi"/>
          <w:lang w:val="pl-PL"/>
        </w:rPr>
        <w:t xml:space="preserve">5 </w:t>
      </w:r>
      <w:r w:rsidR="002A3630" w:rsidRPr="002A3630">
        <w:rPr>
          <w:rFonts w:asciiTheme="majorHAnsi" w:hAnsiTheme="majorHAnsi"/>
          <w:lang w:val="pl-PL"/>
        </w:rPr>
        <w:t>roku. Zadanie zostało opisane w Szczegółowych Specyfikacjach Technicznych</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03ABD1D1"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3E610425"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1, 2</w:t>
            </w:r>
          </w:p>
        </w:tc>
        <w:tc>
          <w:tcPr>
            <w:tcW w:w="7092" w:type="dxa"/>
          </w:tcPr>
          <w:p w14:paraId="16DF3FF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p>
          <w:p w14:paraId="0DA66650" w14:textId="0E7CE96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00A33B55">
              <w:rPr>
                <w:rFonts w:asciiTheme="majorHAnsi" w:hAnsiTheme="majorHAnsi"/>
                <w:b/>
              </w:rPr>
              <w:t>2</w:t>
            </w:r>
            <w:r w:rsidRPr="00761E00">
              <w:rPr>
                <w:rFonts w:asciiTheme="majorHAnsi" w:hAnsiTheme="majorHAnsi"/>
                <w:b/>
              </w:rPr>
              <w:t xml:space="preserve">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40ADFECC" w:rsidR="00761E00" w:rsidRPr="00761E00" w:rsidRDefault="00FC1651" w:rsidP="00C43E52">
            <w:pPr>
              <w:overflowPunct w:val="0"/>
              <w:autoSpaceDE w:val="0"/>
              <w:autoSpaceDN w:val="0"/>
              <w:adjustRightInd w:val="0"/>
              <w:ind w:left="709" w:hanging="709"/>
              <w:jc w:val="center"/>
              <w:textAlignment w:val="baseline"/>
              <w:rPr>
                <w:rFonts w:asciiTheme="majorHAnsi" w:hAnsiTheme="majorHAnsi"/>
                <w:b/>
              </w:rPr>
            </w:pPr>
            <w:r>
              <w:rPr>
                <w:rFonts w:asciiTheme="majorHAnsi" w:hAnsiTheme="majorHAnsi"/>
                <w:b/>
              </w:rPr>
              <w:t>3</w:t>
            </w:r>
          </w:p>
        </w:tc>
        <w:tc>
          <w:tcPr>
            <w:tcW w:w="7092" w:type="dxa"/>
          </w:tcPr>
          <w:p w14:paraId="4626301D" w14:textId="77777777"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3B7A449F" w:rsidR="00761E00" w:rsidRPr="00761E00" w:rsidRDefault="00FC1651" w:rsidP="00FC1651">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4</w:t>
            </w:r>
            <w:r w:rsidR="00761E00" w:rsidRPr="00761E00">
              <w:rPr>
                <w:rFonts w:asciiTheme="majorHAnsi" w:hAnsiTheme="majorHAnsi"/>
                <w:b/>
              </w:rPr>
              <w:t xml:space="preserve">, </w:t>
            </w:r>
            <w:r>
              <w:rPr>
                <w:rFonts w:asciiTheme="majorHAnsi" w:hAnsiTheme="majorHAnsi"/>
                <w:b/>
              </w:rPr>
              <w:t>5</w:t>
            </w:r>
            <w:r w:rsidR="00761E00" w:rsidRPr="00761E00">
              <w:rPr>
                <w:rFonts w:asciiTheme="majorHAnsi" w:hAnsiTheme="majorHAnsi"/>
                <w:b/>
              </w:rPr>
              <w:t xml:space="preserve">, </w:t>
            </w:r>
            <w:r>
              <w:rPr>
                <w:rFonts w:asciiTheme="majorHAnsi" w:hAnsiTheme="majorHAnsi"/>
                <w:b/>
              </w:rPr>
              <w:t>6</w:t>
            </w:r>
          </w:p>
        </w:tc>
        <w:tc>
          <w:tcPr>
            <w:tcW w:w="7092" w:type="dxa"/>
          </w:tcPr>
          <w:p w14:paraId="0137A90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19A361CA" w:rsidR="00761E00" w:rsidRPr="00761E00" w:rsidRDefault="00FC1651" w:rsidP="005614AB">
            <w:pPr>
              <w:overflowPunct w:val="0"/>
              <w:autoSpaceDE w:val="0"/>
              <w:autoSpaceDN w:val="0"/>
              <w:adjustRightInd w:val="0"/>
              <w:jc w:val="center"/>
              <w:textAlignment w:val="baseline"/>
              <w:rPr>
                <w:rFonts w:asciiTheme="majorHAnsi" w:hAnsiTheme="majorHAnsi"/>
                <w:b/>
              </w:rPr>
            </w:pPr>
            <w:r>
              <w:rPr>
                <w:rFonts w:asciiTheme="majorHAnsi" w:hAnsiTheme="majorHAnsi"/>
                <w:b/>
              </w:rPr>
              <w:t>7</w:t>
            </w:r>
          </w:p>
        </w:tc>
        <w:tc>
          <w:tcPr>
            <w:tcW w:w="7092" w:type="dxa"/>
          </w:tcPr>
          <w:p w14:paraId="33DD9C5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do odśnieżania dróg. </w:t>
            </w:r>
            <w:r w:rsidRPr="00761E00">
              <w:rPr>
                <w:rFonts w:asciiTheme="majorHAnsi" w:hAnsiTheme="majorHAnsi"/>
                <w:b/>
              </w:rPr>
              <w:t>CPV</w:t>
            </w:r>
            <w:r w:rsidRPr="00761E00">
              <w:rPr>
                <w:rFonts w:asciiTheme="majorHAnsi" w:hAnsiTheme="majorHAnsi"/>
              </w:rPr>
              <w:t xml:space="preserve"> 90.62.00.00-9</w:t>
            </w:r>
          </w:p>
          <w:p w14:paraId="57C4A3B4" w14:textId="37C6EA0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A33B55">
              <w:rPr>
                <w:rFonts w:asciiTheme="majorHAnsi" w:hAnsiTheme="majorHAnsi"/>
                <w:b/>
              </w:rPr>
              <w:t>1</w:t>
            </w:r>
            <w:r w:rsidRPr="00761E00">
              <w:rPr>
                <w:rFonts w:asciiTheme="majorHAnsi" w:hAnsiTheme="majorHAnsi"/>
                <w:b/>
              </w:rPr>
              <w:t xml:space="preserve">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45F78ACD"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8, 9, 10, 11</w:t>
            </w:r>
          </w:p>
        </w:tc>
        <w:tc>
          <w:tcPr>
            <w:tcW w:w="7092" w:type="dxa"/>
          </w:tcPr>
          <w:p w14:paraId="43711A41"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(pług zamawiającego). </w:t>
            </w:r>
            <w:r w:rsidRPr="00761E00">
              <w:rPr>
                <w:rFonts w:asciiTheme="majorHAnsi" w:hAnsiTheme="majorHAnsi"/>
                <w:b/>
              </w:rPr>
              <w:t>CPV</w:t>
            </w:r>
            <w:r w:rsidRPr="00761E00">
              <w:rPr>
                <w:rFonts w:asciiTheme="majorHAnsi" w:hAnsiTheme="majorHAnsi"/>
              </w:rPr>
              <w:t xml:space="preserve"> 90.62.00.00-9</w:t>
            </w:r>
          </w:p>
          <w:p w14:paraId="65091597"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19576168"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lastRenderedPageBreak/>
              <w:t>12, 13</w:t>
            </w:r>
          </w:p>
        </w:tc>
        <w:tc>
          <w:tcPr>
            <w:tcW w:w="7092" w:type="dxa"/>
          </w:tcPr>
          <w:p w14:paraId="39CAFC5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zależności od warunków pogodowych w pierwszej kolejności będzie wzywany ciągnik z niższą ceną.</w:t>
            </w:r>
          </w:p>
        </w:tc>
      </w:tr>
      <w:tr w:rsidR="00761E00" w:rsidRPr="00600371" w14:paraId="6F2F7520" w14:textId="77777777" w:rsidTr="008B4147">
        <w:trPr>
          <w:jc w:val="center"/>
        </w:trPr>
        <w:tc>
          <w:tcPr>
            <w:tcW w:w="1838" w:type="dxa"/>
            <w:vAlign w:val="center"/>
          </w:tcPr>
          <w:p w14:paraId="6612B05D" w14:textId="71D53C55"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14, 15, 16</w:t>
            </w:r>
          </w:p>
        </w:tc>
        <w:tc>
          <w:tcPr>
            <w:tcW w:w="7092" w:type="dxa"/>
          </w:tcPr>
          <w:p w14:paraId="7604BD2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p>
          <w:p w14:paraId="2ED91AB8" w14:textId="1103AF8B"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A33B55">
              <w:rPr>
                <w:rFonts w:asciiTheme="majorHAnsi" w:hAnsiTheme="majorHAnsi"/>
                <w:b/>
              </w:rPr>
              <w:t>3</w:t>
            </w:r>
            <w:r w:rsidRPr="00761E00">
              <w:rPr>
                <w:rFonts w:asciiTheme="majorHAnsi" w:hAnsiTheme="majorHAnsi"/>
                <w:b/>
              </w:rPr>
              <w:t xml:space="preserve">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5358A89B" w:rsidR="00761E00" w:rsidRPr="00761E00" w:rsidRDefault="00FC1651"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17</w:t>
            </w:r>
          </w:p>
        </w:tc>
        <w:tc>
          <w:tcPr>
            <w:tcW w:w="7092" w:type="dxa"/>
          </w:tcPr>
          <w:p w14:paraId="30DFE70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p>
          <w:p w14:paraId="18AE275F" w14:textId="14E65B1E"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A33B55">
              <w:rPr>
                <w:rFonts w:asciiTheme="majorHAnsi" w:hAnsiTheme="majorHAnsi"/>
                <w:b/>
              </w:rPr>
              <w:t>1</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0E42958F"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w:t>
            </w:r>
            <w:r w:rsidR="00FC1651">
              <w:rPr>
                <w:rFonts w:asciiTheme="majorHAnsi" w:hAnsiTheme="majorHAnsi"/>
                <w:b/>
              </w:rPr>
              <w:t>18</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bookmarkStart w:id="2" w:name="_GoBack"/>
            <w:bookmarkEnd w:id="2"/>
          </w:p>
          <w:p w14:paraId="2B9F7794" w14:textId="77777777"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p>
          <w:p w14:paraId="1FBB43BB" w14:textId="77777777"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4E67FDE9"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t>Najkrótszy możliwy czas reakcji wymagany przez Zamawiającego–</w:t>
      </w:r>
      <w:r w:rsidR="0018003D">
        <w:rPr>
          <w:rFonts w:asciiTheme="majorHAnsi" w:hAnsiTheme="majorHAnsi"/>
          <w:iCs/>
        </w:rPr>
        <w:t xml:space="preserve"> </w:t>
      </w:r>
      <w:r w:rsidRPr="00BF5609">
        <w:rPr>
          <w:rFonts w:asciiTheme="majorHAnsi" w:hAnsiTheme="majorHAnsi"/>
          <w:iCs/>
        </w:rPr>
        <w:t>1 godzina od powiadomienia</w:t>
      </w:r>
      <w:r w:rsidR="0018003D">
        <w:rPr>
          <w:rFonts w:asciiTheme="majorHAnsi" w:hAnsiTheme="majorHAnsi"/>
          <w:iCs/>
        </w:rPr>
        <w:t xml:space="preserve"> (e-mail, telefonicznie)</w:t>
      </w:r>
      <w:r w:rsidRPr="00BF5609">
        <w:rPr>
          <w:rFonts w:asciiTheme="majorHAnsi" w:hAnsiTheme="majorHAnsi"/>
        </w:rPr>
        <w:t>.</w:t>
      </w:r>
    </w:p>
    <w:p w14:paraId="11B66069" w14:textId="124B013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1916CCFA"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6718C5">
        <w:rPr>
          <w:rFonts w:ascii="Cambria" w:hAnsi="Cambria"/>
          <w:b/>
        </w:rPr>
        <w:t>7</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lastRenderedPageBreak/>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558C09A"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23213A">
        <w:rPr>
          <w:rFonts w:asciiTheme="majorHAnsi" w:eastAsiaTheme="majorEastAsia" w:hAnsiTheme="majorHAnsi" w:cstheme="majorBidi"/>
          <w:b/>
          <w:bCs/>
          <w:lang w:eastAsia="en-US"/>
        </w:rPr>
        <w:t>5</w:t>
      </w:r>
      <w:r w:rsidR="00020159" w:rsidRPr="00020159">
        <w:rPr>
          <w:rFonts w:asciiTheme="majorHAnsi" w:eastAsiaTheme="majorEastAsia" w:hAnsiTheme="majorHAnsi" w:cstheme="majorBidi"/>
          <w:b/>
          <w:bCs/>
          <w:lang w:eastAsia="en-US"/>
        </w:rPr>
        <w:t xml:space="preserve"> r.</w:t>
      </w:r>
    </w:p>
    <w:p w14:paraId="25F3EA1C" w14:textId="2C8806D5"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6718C5">
        <w:rPr>
          <w:rFonts w:asciiTheme="majorHAnsi" w:eastAsiaTheme="majorEastAsia" w:hAnsiTheme="majorHAnsi" w:cstheme="majorBidi"/>
          <w:b/>
          <w:bCs/>
          <w:lang w:eastAsia="en-US"/>
        </w:rPr>
        <w:t>7</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77777777"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 xml:space="preserve">który w sposób zawiniony poważnie naruszył obowiązki zawodowe, co podważa jego uczciwość, w szczególności gdy wykonawca w wyniku zamierzonego działania lub rażącego niedbalstwa nie wykonał lub nienależycie </w:t>
      </w:r>
      <w:r w:rsidRPr="00927F3A">
        <w:rPr>
          <w:rFonts w:asciiTheme="majorHAnsi" w:hAnsiTheme="majorHAnsi"/>
          <w:bCs/>
          <w:kern w:val="32"/>
        </w:rPr>
        <w:lastRenderedPageBreak/>
        <w:t>wykonał zamówienie, co zamawiający jest w stanie wykazać za pomocą stosownych dowodów;</w:t>
      </w:r>
    </w:p>
    <w:p w14:paraId="1D7D96AD" w14:textId="77777777"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7777777"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7777777"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77777777"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83FE4F8"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 xml:space="preserve">rozporządzeniu 269/2014 albo wpisany na listę lub będący taką jednostką dominującą od dnia 24 lutego 2022 r., o ile został </w:t>
      </w:r>
      <w:r w:rsidRPr="000D32E7">
        <w:rPr>
          <w:rFonts w:ascii="Cambria" w:hAnsi="Cambria" w:cs="Arial"/>
        </w:rPr>
        <w:lastRenderedPageBreak/>
        <w:t>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C4D7987"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5.2  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91CE7B1"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 xml:space="preserve">rmularz </w:t>
      </w:r>
      <w:r w:rsidR="006718C5">
        <w:rPr>
          <w:rFonts w:ascii="Cambria" w:hAnsi="Cambria"/>
          <w:b/>
        </w:rPr>
        <w:t>ofertowy</w:t>
      </w:r>
      <w:r w:rsidR="007A41C9" w:rsidRPr="005F74F8">
        <w:rPr>
          <w:rFonts w:ascii="Cambria" w:hAnsi="Cambria"/>
          <w:b/>
        </w:rPr>
        <w:t xml:space="preserve">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 xml:space="preserve">w formie elektronicznej lub w postaci elektronicznej opatrzonej podpisem zaufanym, lub podpisem osobistym osoby upoważnionej do </w:t>
      </w:r>
      <w:r w:rsidR="00887365" w:rsidRPr="00773D17">
        <w:rPr>
          <w:rFonts w:ascii="Cambria" w:hAnsi="Cambria"/>
        </w:rPr>
        <w:lastRenderedPageBreak/>
        <w:t>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1A6058DC"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w:t>
      </w:r>
      <w:r w:rsidR="006718C5">
        <w:rPr>
          <w:rFonts w:ascii="Cambria" w:hAnsi="Cambria"/>
          <w:b/>
        </w:rPr>
        <w:t>0</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 xml:space="preserve">lub </w:t>
      </w:r>
      <w:r w:rsidRPr="006D6032">
        <w:rPr>
          <w:rFonts w:asciiTheme="majorHAnsi" w:hAnsiTheme="majorHAnsi"/>
          <w:bCs/>
        </w:rPr>
        <w:lastRenderedPageBreak/>
        <w:t>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B4B0BD9" w14:textId="0DFAB6F7"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 xml:space="preserve">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w:t>
      </w:r>
      <w:r w:rsidR="00223229" w:rsidRPr="00223229">
        <w:rPr>
          <w:rFonts w:asciiTheme="majorHAnsi" w:eastAsia="Calibri" w:hAnsiTheme="majorHAnsi"/>
        </w:rPr>
        <w:lastRenderedPageBreak/>
        <w:t>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31900961"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w:t>
      </w:r>
      <w:r w:rsidR="00FC1651">
        <w:rPr>
          <w:rFonts w:asciiTheme="majorHAnsi" w:hAnsiTheme="majorHAnsi"/>
        </w:rPr>
        <w:t>adania częściowego nr 1, 2</w:t>
      </w:r>
      <w:r w:rsidRPr="003F1F25">
        <w:rPr>
          <w:rFonts w:asciiTheme="majorHAnsi" w:hAnsiTheme="majorHAnsi"/>
        </w:rPr>
        <w:t>–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BC460B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3</w:t>
      </w:r>
      <w:r w:rsidRPr="003F1F25">
        <w:rPr>
          <w:rFonts w:asciiTheme="majorHAnsi" w:hAnsiTheme="majorHAnsi"/>
        </w:rPr>
        <w:t xml:space="preserve"> – co najmniej 1 spycharką (z możliwością przemieszczania z zestawem niskopodwoziowym),</w:t>
      </w:r>
    </w:p>
    <w:p w14:paraId="02E35BE9" w14:textId="36ACA7DF"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FC1651">
        <w:rPr>
          <w:rFonts w:asciiTheme="majorHAnsi" w:hAnsiTheme="majorHAnsi"/>
        </w:rPr>
        <w:t>4, 5,</w:t>
      </w:r>
      <w:r w:rsidR="00DE0659">
        <w:rPr>
          <w:rFonts w:asciiTheme="majorHAnsi" w:hAnsiTheme="majorHAnsi"/>
        </w:rPr>
        <w:t xml:space="preserve"> 6</w:t>
      </w:r>
      <w:r w:rsidRPr="003F1F25">
        <w:rPr>
          <w:rFonts w:asciiTheme="majorHAnsi" w:hAnsiTheme="majorHAnsi"/>
        </w:rPr>
        <w:t xml:space="preserve"> – co najmniej 1 równiarką,</w:t>
      </w:r>
    </w:p>
    <w:p w14:paraId="645C7BEC" w14:textId="58474059" w:rsidR="003F1F25" w:rsidRDefault="000D7D81" w:rsidP="004D0574">
      <w:pPr>
        <w:pStyle w:val="Akapitzlist"/>
        <w:numPr>
          <w:ilvl w:val="0"/>
          <w:numId w:val="73"/>
        </w:numPr>
        <w:autoSpaceDE w:val="0"/>
        <w:autoSpaceDN w:val="0"/>
        <w:jc w:val="both"/>
        <w:rPr>
          <w:rFonts w:asciiTheme="majorHAnsi" w:hAnsiTheme="majorHAnsi"/>
        </w:rPr>
      </w:pPr>
      <w:r>
        <w:rPr>
          <w:rFonts w:asciiTheme="majorHAnsi" w:hAnsiTheme="majorHAnsi"/>
        </w:rPr>
        <w:t xml:space="preserve">dla zadania częściowego nr </w:t>
      </w:r>
      <w:r w:rsidR="00DE0659">
        <w:rPr>
          <w:rFonts w:asciiTheme="majorHAnsi" w:hAnsiTheme="majorHAnsi"/>
        </w:rPr>
        <w:t>7</w:t>
      </w:r>
      <w:r w:rsidR="003F1F25" w:rsidRPr="003F1F25">
        <w:rPr>
          <w:rFonts w:asciiTheme="majorHAnsi" w:hAnsiTheme="majorHAnsi"/>
        </w:rPr>
        <w:t>– co najmniej 1 koparko-ładowarko-spycharką o mocy minimum 100 KM do odśnieżania dróg,</w:t>
      </w:r>
    </w:p>
    <w:p w14:paraId="78E57438" w14:textId="0177D33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8, 9, 10, 11</w:t>
      </w:r>
      <w:r w:rsidRPr="003F1F25">
        <w:rPr>
          <w:rFonts w:asciiTheme="majorHAnsi" w:hAnsiTheme="majorHAnsi"/>
        </w:rPr>
        <w:t xml:space="preserve"> – co najmniej 1 ciągnikiem rolniczym o mocy do 100 KM pod pług ciągnikowy lekki,</w:t>
      </w:r>
    </w:p>
    <w:p w14:paraId="32C3AB62" w14:textId="028BDB39"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12</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3</w:t>
      </w:r>
      <w:r w:rsidRPr="003F1F25">
        <w:rPr>
          <w:rFonts w:asciiTheme="majorHAnsi" w:hAnsiTheme="majorHAnsi"/>
        </w:rPr>
        <w:t xml:space="preserve"> – co najmniej 1 ciągnikiem rolniczym o mocy powyżej 100 KM pod pług ciągnikowy średni,</w:t>
      </w:r>
    </w:p>
    <w:p w14:paraId="48901575" w14:textId="6501F028"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0D7D81">
        <w:rPr>
          <w:rFonts w:asciiTheme="majorHAnsi" w:hAnsiTheme="majorHAnsi"/>
        </w:rPr>
        <w:t>1</w:t>
      </w:r>
      <w:r w:rsidR="00DE0659">
        <w:rPr>
          <w:rFonts w:asciiTheme="majorHAnsi" w:hAnsiTheme="majorHAnsi"/>
        </w:rPr>
        <w:t>4</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5</w:t>
      </w:r>
      <w:r w:rsidRPr="003F1F25">
        <w:rPr>
          <w:rFonts w:asciiTheme="majorHAnsi" w:hAnsiTheme="majorHAnsi"/>
        </w:rPr>
        <w:t xml:space="preserve">, </w:t>
      </w:r>
      <w:r w:rsidR="000D7D81">
        <w:rPr>
          <w:rFonts w:asciiTheme="majorHAnsi" w:hAnsiTheme="majorHAnsi"/>
        </w:rPr>
        <w:t>1</w:t>
      </w:r>
      <w:r w:rsidR="00DE0659">
        <w:rPr>
          <w:rFonts w:asciiTheme="majorHAnsi" w:hAnsiTheme="majorHAnsi"/>
        </w:rPr>
        <w:t>6</w:t>
      </w:r>
      <w:r w:rsidRPr="003F1F25">
        <w:rPr>
          <w:rFonts w:asciiTheme="majorHAnsi" w:hAnsiTheme="majorHAnsi"/>
        </w:rPr>
        <w:t>– co najmniej 1 ciągnikiem rolniczym z pługiem,</w:t>
      </w:r>
    </w:p>
    <w:p w14:paraId="7CA7FFF2" w14:textId="0BA1A034"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17</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dł. skrzyni 6 m.  pod pług średni z możliwością montażu w kabinie kierowcy urządzeń sterujących pod piaskarko-solarkę,</w:t>
      </w:r>
    </w:p>
    <w:p w14:paraId="7D60FE45" w14:textId="4FB4DFED"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DE0659">
        <w:rPr>
          <w:rFonts w:asciiTheme="majorHAnsi" w:hAnsiTheme="majorHAnsi"/>
        </w:rPr>
        <w:t>18</w:t>
      </w:r>
      <w:r w:rsidRPr="003F1F25">
        <w:rPr>
          <w:rFonts w:asciiTheme="majorHAnsi" w:hAnsiTheme="majorHAnsi"/>
        </w:rPr>
        <w:t xml:space="preserve"> – co najmniej 1 ciągnikiem rolniczym o mocy powyżej 160 KM pod pług ciągnikowy średni,</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 xml:space="preserve">podlegających negocjacjom lub niezwłocznie po ich </w:t>
      </w:r>
      <w:r w:rsidRPr="00837337">
        <w:rPr>
          <w:rFonts w:asciiTheme="majorHAnsi" w:hAnsiTheme="majorHAnsi"/>
        </w:rPr>
        <w:lastRenderedPageBreak/>
        <w:t>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85EE70D" w:rsidR="005044EC" w:rsidRPr="007A3A5E" w:rsidRDefault="00DA5BE2" w:rsidP="004D0574">
      <w:pPr>
        <w:pStyle w:val="Akapitzlist"/>
        <w:numPr>
          <w:ilvl w:val="0"/>
          <w:numId w:val="5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DE0659">
        <w:rPr>
          <w:rFonts w:ascii="Cambria" w:hAnsi="Cambria" w:cs="Calibri,Bold"/>
          <w:b/>
          <w:bCs/>
        </w:rPr>
        <w:t>11.10</w:t>
      </w:r>
      <w:r w:rsidR="0023213A">
        <w:rPr>
          <w:rFonts w:ascii="Cambria" w:hAnsi="Cambria" w:cs="Calibri,Bold"/>
          <w:b/>
          <w:bCs/>
        </w:rPr>
        <w:t>.2024</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lastRenderedPageBreak/>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w:t>
      </w:r>
      <w:r w:rsidRPr="00F307FF">
        <w:rPr>
          <w:rFonts w:asciiTheme="majorHAnsi" w:eastAsiaTheme="majorEastAsia" w:hAnsiTheme="majorHAnsi"/>
          <w:lang w:eastAsia="en-US"/>
        </w:rPr>
        <w:lastRenderedPageBreak/>
        <w:t xml:space="preserve">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lastRenderedPageBreak/>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54424ED0"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 xml:space="preserve">PREZESA RADY MINISTRÓW z dnia </w:t>
      </w:r>
      <w:r w:rsidR="00B44609">
        <w:rPr>
          <w:rFonts w:ascii="Cambria" w:hAnsi="Cambria"/>
        </w:rPr>
        <w:t>21 maja 2024</w:t>
      </w:r>
      <w:r w:rsidRPr="00692C83">
        <w:rPr>
          <w:rFonts w:ascii="Cambria" w:hAnsi="Cambria"/>
        </w:rPr>
        <w:t xml:space="preserve">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3AE20321"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DE0659">
        <w:rPr>
          <w:rFonts w:ascii="Cambria" w:hAnsi="Cambria"/>
          <w:b/>
        </w:rPr>
        <w:t>11.10</w:t>
      </w:r>
      <w:r w:rsidR="00C97B0C" w:rsidRPr="007A3A5E">
        <w:rPr>
          <w:rFonts w:ascii="Cambria" w:hAnsi="Cambria"/>
          <w:b/>
        </w:rPr>
        <w:t>.202</w:t>
      </w:r>
      <w:r w:rsidR="0023213A">
        <w:rPr>
          <w:rFonts w:ascii="Cambria" w:hAnsi="Cambria"/>
          <w:b/>
        </w:rPr>
        <w:t>4</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65B09BE1"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DE0659">
        <w:rPr>
          <w:rFonts w:ascii="Cambria" w:hAnsi="Cambria"/>
          <w:b/>
        </w:rPr>
        <w:t>11.10</w:t>
      </w:r>
      <w:r w:rsidR="00C97B0C" w:rsidRPr="007A3A5E">
        <w:rPr>
          <w:rFonts w:ascii="Cambria" w:hAnsi="Cambria"/>
          <w:b/>
        </w:rPr>
        <w:t>.202</w:t>
      </w:r>
      <w:r w:rsidR="0023213A">
        <w:rPr>
          <w:rFonts w:ascii="Cambria" w:hAnsi="Cambria"/>
          <w:b/>
        </w:rPr>
        <w:t>4</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4D0574">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lastRenderedPageBreak/>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8A8A604"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DE0659">
        <w:rPr>
          <w:rFonts w:ascii="Cambria" w:hAnsi="Cambria"/>
          <w:b/>
          <w:bCs/>
        </w:rPr>
        <w:t>09.11</w:t>
      </w:r>
      <w:r w:rsidR="00282B30" w:rsidRPr="007A3A5E">
        <w:rPr>
          <w:rFonts w:ascii="Cambria" w:hAnsi="Cambria"/>
          <w:b/>
          <w:bCs/>
        </w:rPr>
        <w:t>.</w:t>
      </w:r>
      <w:r w:rsidR="00064CF2" w:rsidRPr="007A3A5E">
        <w:rPr>
          <w:rFonts w:ascii="Cambria" w:hAnsi="Cambria"/>
          <w:b/>
          <w:bCs/>
        </w:rPr>
        <w:t>202</w:t>
      </w:r>
      <w:r w:rsidR="008E7E75">
        <w:rPr>
          <w:rFonts w:ascii="Cambria" w:hAnsi="Cambria"/>
          <w:b/>
          <w:bCs/>
        </w:rPr>
        <w:t>4</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9501C89" w14:textId="59AC9285" w:rsidR="00F10144" w:rsidRPr="00F10144" w:rsidRDefault="003C7B82" w:rsidP="00F1014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Najkrótszy możliwy czas reakcji wymagany przez Zamawiającego –1 godzina od powiadomienia</w:t>
      </w:r>
      <w:r w:rsidRPr="00693AF0">
        <w:rPr>
          <w:rFonts w:asciiTheme="majorHAnsi" w:hAnsiTheme="majorHAnsi"/>
        </w:rPr>
        <w:t>.</w:t>
      </w:r>
    </w:p>
    <w:p w14:paraId="4A615BC4"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3372661F"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41506A9D"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6718C5">
        <w:rPr>
          <w:rFonts w:ascii="Cambria" w:hAnsi="Cambria"/>
          <w:b/>
        </w:rPr>
        <w:t>7</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lastRenderedPageBreak/>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71FD986" w14:textId="77777777"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p>
    <w:p w14:paraId="05FE47D5" w14:textId="7BC672F2"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p>
    <w:p w14:paraId="78B9ABBC" w14:textId="1AABCF73"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sidR="006718C5">
        <w:rPr>
          <w:rFonts w:asciiTheme="majorHAnsi" w:hAnsiTheme="majorHAnsi"/>
        </w:rPr>
        <w:t>6</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Pr="00324A9F">
        <w:rPr>
          <w:rFonts w:asciiTheme="majorHAnsi" w:hAnsiTheme="majorHAnsi"/>
        </w:rPr>
        <w:t>,</w:t>
      </w:r>
    </w:p>
    <w:p w14:paraId="264D9189" w14:textId="206DE62F"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6718C5">
        <w:rPr>
          <w:rFonts w:asciiTheme="majorHAnsi" w:hAnsiTheme="majorHAnsi" w:cs="Arial"/>
          <w:snapToGrid w:val="0"/>
        </w:rPr>
        <w:t>7</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14F533BD"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6718C5">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p>
    <w:p w14:paraId="6AD68DAD" w14:textId="76CEDEBE" w:rsidR="00470255" w:rsidRPr="00470255" w:rsidRDefault="0032189C" w:rsidP="00E1310A">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w:t>
      </w:r>
      <w:r w:rsidR="006718C5">
        <w:rPr>
          <w:rFonts w:asciiTheme="majorHAnsi" w:hAnsiTheme="majorHAnsi" w:cs="Arial"/>
          <w:snapToGrid w:val="0"/>
        </w:rPr>
        <w:t>9</w:t>
      </w:r>
      <w:r>
        <w:rPr>
          <w:rFonts w:asciiTheme="majorHAnsi" w:hAnsiTheme="majorHAnsi" w:cs="Arial"/>
          <w:snapToGrid w:val="0"/>
        </w:rPr>
        <w:t xml:space="preserve">- </w:t>
      </w:r>
      <w:r w:rsidR="00E1310A">
        <w:rPr>
          <w:rFonts w:asciiTheme="majorHAnsi" w:hAnsiTheme="majorHAnsi" w:cs="Arial"/>
          <w:snapToGrid w:val="0"/>
        </w:rPr>
        <w:t xml:space="preserve">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p>
    <w:p w14:paraId="3D7F1E33" w14:textId="16E741E5"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1</w:t>
      </w:r>
      <w:r w:rsidR="006718C5">
        <w:rPr>
          <w:rFonts w:asciiTheme="majorHAnsi" w:hAnsiTheme="majorHAnsi" w:cs="Arial"/>
          <w:snapToGrid w:val="0"/>
        </w:rPr>
        <w:t>0</w:t>
      </w:r>
      <w:r w:rsidR="0032189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C9E8" w14:textId="77777777" w:rsidR="00DE1AD0" w:rsidRDefault="00DE1AD0" w:rsidP="000F1DCF">
      <w:r>
        <w:separator/>
      </w:r>
    </w:p>
  </w:endnote>
  <w:endnote w:type="continuationSeparator" w:id="0">
    <w:p w14:paraId="2A59D743" w14:textId="77777777" w:rsidR="00DE1AD0" w:rsidRDefault="00DE1AD0" w:rsidP="000F1DCF">
      <w:r>
        <w:continuationSeparator/>
      </w:r>
    </w:p>
  </w:endnote>
  <w:endnote w:type="continuationNotice" w:id="1">
    <w:p w14:paraId="54E9003C" w14:textId="77777777" w:rsidR="00DE1AD0" w:rsidRDefault="00DE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59F0" w14:textId="77777777" w:rsidR="00DE1AD0" w:rsidRDefault="00DE1AD0" w:rsidP="000F1DCF">
      <w:r>
        <w:separator/>
      </w:r>
    </w:p>
  </w:footnote>
  <w:footnote w:type="continuationSeparator" w:id="0">
    <w:p w14:paraId="760DEFA1" w14:textId="77777777" w:rsidR="00DE1AD0" w:rsidRDefault="00DE1AD0" w:rsidP="000F1DCF">
      <w:r>
        <w:continuationSeparator/>
      </w:r>
    </w:p>
  </w:footnote>
  <w:footnote w:type="continuationNotice" w:id="1">
    <w:p w14:paraId="47378E7E" w14:textId="77777777" w:rsidR="00DE1AD0" w:rsidRDefault="00DE1AD0"/>
  </w:footnote>
  <w:footnote w:id="2">
    <w:p w14:paraId="4C2783A3" w14:textId="77777777" w:rsidR="00FC1651" w:rsidRDefault="00FC1651"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6B2A59EF" w:rsidR="00FC1651" w:rsidRDefault="00FC1651" w:rsidP="004C1A22">
    <w:pPr>
      <w:pStyle w:val="Nagwek"/>
      <w:jc w:val="both"/>
      <w:rPr>
        <w:rFonts w:asciiTheme="majorHAnsi" w:hAnsiTheme="majorHAnsi"/>
        <w:lang w:val="pl-PL"/>
      </w:rPr>
    </w:pPr>
    <w:r>
      <w:rPr>
        <w:rFonts w:ascii="Cambria" w:hAnsi="Cambria"/>
        <w:lang w:val="pl-PL"/>
      </w:rPr>
      <w:t>22</w:t>
    </w:r>
    <w:r w:rsidRPr="00B972C4">
      <w:rPr>
        <w:rFonts w:ascii="Cambria" w:hAnsi="Cambria"/>
        <w:lang w:val="pl-PL"/>
      </w:rPr>
      <w:t>/p.n/2</w:t>
    </w:r>
    <w:r>
      <w:rPr>
        <w:rFonts w:ascii="Cambria" w:hAnsi="Cambria"/>
        <w:lang w:val="pl-PL"/>
      </w:rPr>
      <w:t>4</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4/2025</w:t>
    </w:r>
    <w:r w:rsidRPr="00B972C4">
      <w:rPr>
        <w:rFonts w:asciiTheme="majorHAnsi" w:hAnsiTheme="majorHAnsi"/>
        <w:lang w:val="pl-PL"/>
      </w:rPr>
      <w:t xml:space="preserve">” </w:t>
    </w:r>
  </w:p>
  <w:p w14:paraId="08242F1B" w14:textId="77777777" w:rsidR="00FC1651" w:rsidRPr="00B972C4" w:rsidRDefault="00FC1651" w:rsidP="00F9117A">
    <w:pPr>
      <w:pStyle w:val="Nagwek"/>
      <w:jc w:val="right"/>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7"/>
  </w:num>
  <w:num w:numId="3">
    <w:abstractNumId w:val="71"/>
  </w:num>
  <w:num w:numId="4">
    <w:abstractNumId w:val="72"/>
  </w:num>
  <w:num w:numId="5">
    <w:abstractNumId w:val="10"/>
  </w:num>
  <w:num w:numId="6">
    <w:abstractNumId w:val="33"/>
  </w:num>
  <w:num w:numId="7">
    <w:abstractNumId w:val="47"/>
  </w:num>
  <w:num w:numId="8">
    <w:abstractNumId w:val="26"/>
  </w:num>
  <w:num w:numId="9">
    <w:abstractNumId w:val="61"/>
  </w:num>
  <w:num w:numId="10">
    <w:abstractNumId w:val="13"/>
  </w:num>
  <w:num w:numId="11">
    <w:abstractNumId w:val="38"/>
  </w:num>
  <w:num w:numId="12">
    <w:abstractNumId w:val="68"/>
  </w:num>
  <w:num w:numId="13">
    <w:abstractNumId w:val="63"/>
  </w:num>
  <w:num w:numId="14">
    <w:abstractNumId w:val="37"/>
  </w:num>
  <w:num w:numId="15">
    <w:abstractNumId w:val="19"/>
  </w:num>
  <w:num w:numId="16">
    <w:abstractNumId w:val="67"/>
  </w:num>
  <w:num w:numId="17">
    <w:abstractNumId w:val="36"/>
  </w:num>
  <w:num w:numId="18">
    <w:abstractNumId w:val="16"/>
  </w:num>
  <w:num w:numId="19">
    <w:abstractNumId w:val="17"/>
  </w:num>
  <w:num w:numId="20">
    <w:abstractNumId w:val="42"/>
  </w:num>
  <w:num w:numId="21">
    <w:abstractNumId w:val="66"/>
  </w:num>
  <w:num w:numId="22">
    <w:abstractNumId w:val="23"/>
  </w:num>
  <w:num w:numId="23">
    <w:abstractNumId w:val="41"/>
  </w:num>
  <w:num w:numId="24">
    <w:abstractNumId w:val="39"/>
  </w:num>
  <w:num w:numId="25">
    <w:abstractNumId w:val="69"/>
  </w:num>
  <w:num w:numId="26">
    <w:abstractNumId w:val="31"/>
  </w:num>
  <w:num w:numId="27">
    <w:abstractNumId w:val="34"/>
  </w:num>
  <w:num w:numId="28">
    <w:abstractNumId w:val="5"/>
  </w:num>
  <w:num w:numId="29">
    <w:abstractNumId w:val="44"/>
  </w:num>
  <w:num w:numId="30">
    <w:abstractNumId w:val="58"/>
  </w:num>
  <w:num w:numId="31">
    <w:abstractNumId w:val="14"/>
  </w:num>
  <w:num w:numId="32">
    <w:abstractNumId w:val="12"/>
  </w:num>
  <w:num w:numId="33">
    <w:abstractNumId w:val="54"/>
  </w:num>
  <w:num w:numId="34">
    <w:abstractNumId w:val="18"/>
  </w:num>
  <w:num w:numId="35">
    <w:abstractNumId w:val="40"/>
  </w:num>
  <w:num w:numId="36">
    <w:abstractNumId w:val="55"/>
  </w:num>
  <w:num w:numId="37">
    <w:abstractNumId w:val="7"/>
  </w:num>
  <w:num w:numId="38">
    <w:abstractNumId w:val="49"/>
  </w:num>
  <w:num w:numId="39">
    <w:abstractNumId w:val="48"/>
  </w:num>
  <w:num w:numId="40">
    <w:abstractNumId w:val="45"/>
  </w:num>
  <w:num w:numId="41">
    <w:abstractNumId w:val="51"/>
  </w:num>
  <w:num w:numId="42">
    <w:abstractNumId w:val="75"/>
  </w:num>
  <w:num w:numId="43">
    <w:abstractNumId w:val="64"/>
  </w:num>
  <w:num w:numId="44">
    <w:abstractNumId w:val="27"/>
  </w:num>
  <w:num w:numId="45">
    <w:abstractNumId w:val="70"/>
  </w:num>
  <w:num w:numId="46">
    <w:abstractNumId w:val="60"/>
  </w:num>
  <w:num w:numId="47">
    <w:abstractNumId w:val="29"/>
  </w:num>
  <w:num w:numId="48">
    <w:abstractNumId w:val="6"/>
  </w:num>
  <w:num w:numId="49">
    <w:abstractNumId w:val="22"/>
  </w:num>
  <w:num w:numId="50">
    <w:abstractNumId w:val="35"/>
  </w:num>
  <w:num w:numId="51">
    <w:abstractNumId w:val="52"/>
  </w:num>
  <w:num w:numId="52">
    <w:abstractNumId w:val="46"/>
  </w:num>
  <w:num w:numId="53">
    <w:abstractNumId w:val="65"/>
  </w:num>
  <w:num w:numId="54">
    <w:abstractNumId w:val="9"/>
  </w:num>
  <w:num w:numId="55">
    <w:abstractNumId w:val="20"/>
  </w:num>
  <w:num w:numId="56">
    <w:abstractNumId w:val="1"/>
  </w:num>
  <w:num w:numId="57">
    <w:abstractNumId w:val="2"/>
  </w:num>
  <w:num w:numId="58">
    <w:abstractNumId w:val="25"/>
  </w:num>
  <w:num w:numId="59">
    <w:abstractNumId w:val="56"/>
  </w:num>
  <w:num w:numId="60">
    <w:abstractNumId w:val="3"/>
  </w:num>
  <w:num w:numId="61">
    <w:abstractNumId w:val="74"/>
  </w:num>
  <w:num w:numId="62">
    <w:abstractNumId w:val="8"/>
  </w:num>
  <w:num w:numId="63">
    <w:abstractNumId w:val="28"/>
  </w:num>
  <w:num w:numId="64">
    <w:abstractNumId w:val="59"/>
  </w:num>
  <w:num w:numId="65">
    <w:abstractNumId w:val="30"/>
  </w:num>
  <w:num w:numId="66">
    <w:abstractNumId w:val="24"/>
  </w:num>
  <w:num w:numId="67">
    <w:abstractNumId w:val="15"/>
  </w:num>
  <w:num w:numId="68">
    <w:abstractNumId w:val="53"/>
  </w:num>
  <w:num w:numId="69">
    <w:abstractNumId w:val="11"/>
  </w:num>
  <w:num w:numId="70">
    <w:abstractNumId w:val="0"/>
  </w:num>
  <w:num w:numId="71">
    <w:abstractNumId w:val="21"/>
  </w:num>
  <w:num w:numId="72">
    <w:abstractNumId w:val="4"/>
  </w:num>
  <w:num w:numId="73">
    <w:abstractNumId w:val="43"/>
  </w:num>
  <w:num w:numId="74">
    <w:abstractNumId w:val="73"/>
  </w:num>
  <w:num w:numId="75">
    <w:abstractNumId w:val="62"/>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D7D8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18E"/>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13A"/>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B18"/>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7438"/>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B6D"/>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67CC"/>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14AB"/>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22D"/>
    <w:rsid w:val="005F2B57"/>
    <w:rsid w:val="005F2F1F"/>
    <w:rsid w:val="005F2F41"/>
    <w:rsid w:val="005F556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18C5"/>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0C3"/>
    <w:rsid w:val="00735855"/>
    <w:rsid w:val="00736E26"/>
    <w:rsid w:val="00737C40"/>
    <w:rsid w:val="00744AEA"/>
    <w:rsid w:val="00744C5C"/>
    <w:rsid w:val="00745405"/>
    <w:rsid w:val="0074543F"/>
    <w:rsid w:val="00745DA7"/>
    <w:rsid w:val="00745F2F"/>
    <w:rsid w:val="00747543"/>
    <w:rsid w:val="007515D3"/>
    <w:rsid w:val="00752A2D"/>
    <w:rsid w:val="00755614"/>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E75"/>
    <w:rsid w:val="008F092C"/>
    <w:rsid w:val="008F1992"/>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A2"/>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B55"/>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09"/>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08"/>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0659"/>
    <w:rsid w:val="00DE1317"/>
    <w:rsid w:val="00DE1AD0"/>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310A"/>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0144"/>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192"/>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17A"/>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1651"/>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5EEF-423A-46D4-AC57-81969AE3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36</Pages>
  <Words>12710</Words>
  <Characters>76261</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88794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58</cp:revision>
  <cp:lastPrinted>2021-09-07T07:12:00Z</cp:lastPrinted>
  <dcterms:created xsi:type="dcterms:W3CDTF">2021-01-08T11:15:00Z</dcterms:created>
  <dcterms:modified xsi:type="dcterms:W3CDTF">2024-10-01T11:41:00Z</dcterms:modified>
</cp:coreProperties>
</file>