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DEC1" w14:textId="77777777" w:rsidR="0095537D" w:rsidRPr="00105C47" w:rsidRDefault="006524D6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5CE8DB01" w14:textId="77777777" w:rsidR="00226AB5" w:rsidRDefault="00226AB5" w:rsidP="00226AB5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MODYFIKACJA NR 1: </w:t>
      </w:r>
    </w:p>
    <w:p w14:paraId="6C2694F8" w14:textId="3ECE3A5C" w:rsidR="00226AB5" w:rsidRDefault="00226AB5" w:rsidP="00226AB5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 w:rsidRPr="001B47F4">
        <w:rPr>
          <w:rFonts w:asciiTheme="minorHAnsi" w:hAnsiTheme="minorHAnsi" w:cstheme="minorHAnsi"/>
          <w:b/>
          <w:color w:val="FF0000"/>
        </w:rPr>
        <w:t xml:space="preserve">Załącznik nr 2 do SWZ, pkt 1 – Wymagania techniczne, użytkowe i funkcjonalne: </w:t>
      </w:r>
      <w:proofErr w:type="spellStart"/>
      <w:r w:rsidRPr="001B47F4">
        <w:rPr>
          <w:rFonts w:asciiTheme="minorHAnsi" w:hAnsiTheme="minorHAnsi" w:cstheme="minorHAnsi"/>
          <w:b/>
          <w:color w:val="FF0000"/>
        </w:rPr>
        <w:t>ppk</w:t>
      </w:r>
      <w:r>
        <w:rPr>
          <w:rFonts w:asciiTheme="minorHAnsi" w:hAnsiTheme="minorHAnsi" w:cstheme="minorHAnsi"/>
          <w:b/>
          <w:color w:val="FF0000"/>
        </w:rPr>
        <w:t>t</w:t>
      </w:r>
      <w:proofErr w:type="spellEnd"/>
      <w:r w:rsidRPr="001B47F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9</w:t>
      </w:r>
      <w:bookmarkStart w:id="0" w:name="_GoBack"/>
      <w:bookmarkEnd w:id="0"/>
      <w:r w:rsidRPr="001B47F4">
        <w:rPr>
          <w:rFonts w:asciiTheme="minorHAnsi" w:hAnsiTheme="minorHAnsi" w:cstheme="minorHAnsi"/>
          <w:b/>
          <w:color w:val="FF0000"/>
        </w:rPr>
        <w:t>;</w:t>
      </w:r>
    </w:p>
    <w:p w14:paraId="41358847" w14:textId="08A51F2B" w:rsidR="0095537D" w:rsidRPr="00105C47" w:rsidRDefault="006524D6" w:rsidP="00C652EF">
      <w:pPr>
        <w:pStyle w:val="Nagwek1"/>
        <w:ind w:left="567" w:right="-1" w:hanging="567"/>
        <w:jc w:val="center"/>
      </w:pPr>
      <w:r w:rsidRPr="00105C47">
        <w:t>OPIS PR</w:t>
      </w:r>
      <w:r w:rsidR="00A46452">
        <w:t xml:space="preserve">ZEDMIOTU ZAMÓWIENIA </w:t>
      </w:r>
      <w:r w:rsidR="00105506">
        <w:t xml:space="preserve">– CZEŚĆ NR </w:t>
      </w:r>
      <w:r w:rsidR="000A3674">
        <w:t>5</w:t>
      </w:r>
    </w:p>
    <w:p w14:paraId="2AB52B6D" w14:textId="040BB978" w:rsidR="00E44E82" w:rsidRDefault="006524D6" w:rsidP="00C652EF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</w:t>
      </w:r>
      <w:r w:rsidR="001E1DB8">
        <w:rPr>
          <w:rFonts w:asciiTheme="minorHAnsi" w:hAnsiTheme="minorHAnsi" w:cstheme="minorHAnsi"/>
        </w:rPr>
        <w:t xml:space="preserve"> </w:t>
      </w:r>
      <w:r w:rsidRPr="00105C47">
        <w:rPr>
          <w:rFonts w:asciiTheme="minorHAnsi" w:hAnsiTheme="minorHAnsi" w:cstheme="minorHAnsi"/>
        </w:rPr>
        <w:t>oraz dostarczeniem instrukcji stanowiskowej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48675E18" w14:textId="2C212AB0" w:rsidR="006A5382" w:rsidRPr="002F23FD" w:rsidRDefault="00112155" w:rsidP="00C652EF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</w:t>
      </w:r>
      <w:r w:rsidR="004102A2" w:rsidRPr="002F23FD">
        <w:rPr>
          <w:rFonts w:ascii="Calibri" w:hAnsi="Calibri" w:cs="Calibri"/>
          <w:b/>
        </w:rPr>
        <w:t xml:space="preserve"> U</w:t>
      </w:r>
      <w:r w:rsidR="00224606">
        <w:rPr>
          <w:rFonts w:ascii="Calibri" w:hAnsi="Calibri" w:cs="Calibri"/>
          <w:b/>
        </w:rPr>
        <w:t xml:space="preserve">niwersytetu </w:t>
      </w:r>
      <w:r w:rsidR="004102A2" w:rsidRPr="002F23FD">
        <w:rPr>
          <w:rFonts w:ascii="Calibri" w:hAnsi="Calibri" w:cs="Calibri"/>
          <w:b/>
        </w:rPr>
        <w:t>M</w:t>
      </w:r>
      <w:r w:rsidR="00224606">
        <w:rPr>
          <w:rFonts w:ascii="Calibri" w:hAnsi="Calibri" w:cs="Calibri"/>
          <w:b/>
        </w:rPr>
        <w:t xml:space="preserve">edycznego w </w:t>
      </w:r>
      <w:r w:rsidR="004102A2" w:rsidRPr="002F23FD">
        <w:rPr>
          <w:rFonts w:ascii="Calibri" w:hAnsi="Calibri" w:cs="Calibri"/>
          <w:b/>
        </w:rPr>
        <w:t>B</w:t>
      </w:r>
      <w:r w:rsidR="00224606">
        <w:rPr>
          <w:rFonts w:ascii="Calibri" w:hAnsi="Calibri" w:cs="Calibri"/>
          <w:b/>
        </w:rPr>
        <w:t>iałymstoku</w:t>
      </w:r>
    </w:p>
    <w:p w14:paraId="6A79244A" w14:textId="62F7A60A" w:rsidR="000A3674" w:rsidRDefault="000A3674" w:rsidP="009D242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Miniwirówka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laboratoryjna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– 1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="001165B9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szt</w:t>
      </w:r>
      <w:r w:rsidR="001165B9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1122D728" w14:textId="77777777" w:rsidR="00047F68" w:rsidRDefault="00047F68" w:rsidP="00C652EF">
      <w:pPr>
        <w:spacing w:line="360" w:lineRule="auto"/>
        <w:ind w:left="567" w:right="-1" w:hanging="567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C652EF">
      <w:pPr>
        <w:spacing w:line="360" w:lineRule="auto"/>
        <w:ind w:right="-1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Default="00BF4E8F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1FC878B9" w:rsidR="00D55035" w:rsidRDefault="00D55035" w:rsidP="00C652EF">
      <w:pPr>
        <w:tabs>
          <w:tab w:val="right" w:leader="dot" w:pos="9639"/>
        </w:tabs>
        <w:spacing w:after="240" w:line="360" w:lineRule="auto"/>
        <w:ind w:left="567" w:right="-1" w:hanging="567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Rok produkcji: </w:t>
      </w:r>
      <w:r w:rsidR="00112155">
        <w:rPr>
          <w:rFonts w:ascii="Calibri" w:hAnsi="Calibri" w:cs="Calibri"/>
          <w:b/>
          <w:sz w:val="24"/>
          <w:szCs w:val="24"/>
        </w:rPr>
        <w:t>2023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EDCDC0B" w14:textId="77777777" w:rsidR="00A11D1C" w:rsidRDefault="00A11D1C" w:rsidP="00A11D1C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Nazwa, adres, nr tel., e-mail serwisu gwarancyjnego: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9F24E03" w14:textId="77777777" w:rsidR="00A11D1C" w:rsidRDefault="00A11D1C" w:rsidP="00A11D1C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FA7B5E4" w14:textId="77777777" w:rsidR="00A11D1C" w:rsidRDefault="00A11D1C" w:rsidP="00A11D1C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0C4297E" w14:textId="77777777" w:rsidR="003C0D3B" w:rsidRPr="00D55035" w:rsidRDefault="003C0D3B" w:rsidP="00A11D1C">
      <w:pPr>
        <w:tabs>
          <w:tab w:val="right" w:leader="dot" w:pos="9639"/>
        </w:tabs>
        <w:spacing w:after="240" w:line="360" w:lineRule="auto"/>
        <w:ind w:right="-1"/>
        <w:rPr>
          <w:rFonts w:ascii="Calibri" w:hAnsi="Calibri" w:cs="Calibri"/>
          <w:b/>
          <w:sz w:val="24"/>
          <w:szCs w:val="24"/>
        </w:rPr>
      </w:pPr>
    </w:p>
    <w:p w14:paraId="4B5062F2" w14:textId="77777777" w:rsidR="00742C98" w:rsidRPr="002923FF" w:rsidRDefault="00742C98" w:rsidP="00C652EF">
      <w:pPr>
        <w:pStyle w:val="Nagwek2"/>
        <w:ind w:left="567" w:right="-1" w:hanging="567"/>
      </w:pPr>
      <w:r w:rsidRPr="002923FF">
        <w:t>WYMAGANIA TECHNICZNE, UŻYTKOWE I FUNKCJONALNE</w:t>
      </w:r>
    </w:p>
    <w:p w14:paraId="1F5E9F7C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 xml:space="preserve">Urządzenie do separacji komórek i przygotowania próbek do </w:t>
      </w:r>
      <w:r>
        <w:rPr>
          <w:rFonts w:ascii="Calibri" w:hAnsi="Calibri" w:cs="Calibri"/>
          <w:sz w:val="24"/>
          <w:szCs w:val="24"/>
        </w:rPr>
        <w:t>HPLC</w:t>
      </w:r>
      <w:r w:rsidRPr="00B01331">
        <w:rPr>
          <w:rFonts w:ascii="Calibri" w:hAnsi="Calibri" w:cs="Calibri"/>
          <w:sz w:val="24"/>
          <w:szCs w:val="24"/>
        </w:rPr>
        <w:t xml:space="preserve">. </w:t>
      </w:r>
    </w:p>
    <w:p w14:paraId="0C19229B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Urządzenie wyposażone w adaptery dostosowane do wszystkich głównych typów mikroprobówek i probówek do PCR (1,5/2,0, 0,5, 0,2 ml) i probówek w paskach:</w:t>
      </w:r>
    </w:p>
    <w:p w14:paraId="3B513D85" w14:textId="77777777" w:rsidR="000A3674" w:rsidRDefault="000A3674" w:rsidP="000A367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rotor na minimum 6 probówek 1,5/2,0 ml,</w:t>
      </w:r>
    </w:p>
    <w:p w14:paraId="36B1ED69" w14:textId="77777777" w:rsidR="000A3674" w:rsidRDefault="000A3674" w:rsidP="000A367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422A">
        <w:rPr>
          <w:rFonts w:ascii="Calibri" w:hAnsi="Calibri" w:cs="Calibri"/>
          <w:sz w:val="24"/>
          <w:szCs w:val="24"/>
        </w:rPr>
        <w:t>rotor na probówki w paskach minimum: dwa paski 8-stanowiskowe lub 16 pojedynczych probówek 0,2 ml,</w:t>
      </w:r>
    </w:p>
    <w:p w14:paraId="62EDA3AB" w14:textId="77777777" w:rsidR="000A3674" w:rsidRDefault="000A3674" w:rsidP="000A367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422A">
        <w:rPr>
          <w:rFonts w:ascii="Calibri" w:hAnsi="Calibri" w:cs="Calibri"/>
          <w:sz w:val="24"/>
          <w:szCs w:val="24"/>
        </w:rPr>
        <w:t>minimum 6 adapterów probówek 0,2 ml,</w:t>
      </w:r>
    </w:p>
    <w:p w14:paraId="51ACBEBF" w14:textId="77777777" w:rsidR="000A3674" w:rsidRPr="00F1422A" w:rsidRDefault="000A3674" w:rsidP="000A367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422A">
        <w:rPr>
          <w:rFonts w:ascii="Calibri" w:hAnsi="Calibri" w:cs="Calibri"/>
          <w:sz w:val="24"/>
          <w:szCs w:val="24"/>
        </w:rPr>
        <w:t>minimum 6 adapterów probówek 0,5 ml,</w:t>
      </w:r>
    </w:p>
    <w:p w14:paraId="6B1E873E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lastRenderedPageBreak/>
        <w:t>Przeźroczysta pokrywa umożliwiająca obserwację próbek w trakcie wirowania.</w:t>
      </w:r>
    </w:p>
    <w:p w14:paraId="7B1DF1A0" w14:textId="1A242369" w:rsidR="00EA3142" w:rsidRDefault="00EA3142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Funkcja „</w:t>
      </w:r>
      <w:proofErr w:type="spellStart"/>
      <w:r>
        <w:rPr>
          <w:rFonts w:ascii="Calibri" w:hAnsi="Calibri" w:cs="Calibri"/>
          <w:sz w:val="24"/>
          <w:szCs w:val="24"/>
        </w:rPr>
        <w:t>Short</w:t>
      </w:r>
      <w:proofErr w:type="spellEnd"/>
      <w:r>
        <w:rPr>
          <w:rFonts w:ascii="Calibri" w:hAnsi="Calibri" w:cs="Calibri"/>
          <w:sz w:val="24"/>
          <w:szCs w:val="24"/>
        </w:rPr>
        <w:t xml:space="preserve"> Spin” do szybkiego, krótkiego wirowania.</w:t>
      </w:r>
    </w:p>
    <w:p w14:paraId="0D3737E8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Funkcja szybkiego zatrzymania.</w:t>
      </w:r>
    </w:p>
    <w:p w14:paraId="1A6885CB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Gumowe nóżki antypoślizgowe, uniemożliwiające przesuwanie się wirówki w trakcie pracy.</w:t>
      </w:r>
    </w:p>
    <w:p w14:paraId="36E16D4D" w14:textId="7DDBFA4A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 xml:space="preserve">Prędkość maksymalna nie mniejsza niż 6000 </w:t>
      </w:r>
      <w:r w:rsidR="00EA3142">
        <w:rPr>
          <w:rFonts w:ascii="Calibri" w:hAnsi="Calibri" w:cs="Calibri"/>
          <w:sz w:val="24"/>
          <w:szCs w:val="24"/>
        </w:rPr>
        <w:t>obrotów/min.</w:t>
      </w:r>
    </w:p>
    <w:p w14:paraId="012AF16D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Maksymalne RFC nie mniejsze niż 2000 x g</w:t>
      </w:r>
    </w:p>
    <w:p w14:paraId="677C9CE4" w14:textId="74184A8A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 xml:space="preserve">Kompaktowe wymiary nie większe niż  (szer. x </w:t>
      </w:r>
      <w:r w:rsidR="004328BA">
        <w:rPr>
          <w:rFonts w:ascii="Calibri" w:hAnsi="Calibri" w:cs="Calibri"/>
          <w:sz w:val="24"/>
          <w:szCs w:val="24"/>
        </w:rPr>
        <w:t>gł</w:t>
      </w:r>
      <w:r w:rsidRPr="00B01331">
        <w:rPr>
          <w:rFonts w:ascii="Calibri" w:hAnsi="Calibri" w:cs="Calibri"/>
          <w:sz w:val="24"/>
          <w:szCs w:val="24"/>
        </w:rPr>
        <w:t>. x</w:t>
      </w:r>
      <w:r w:rsidR="004328BA">
        <w:rPr>
          <w:rFonts w:ascii="Calibri" w:hAnsi="Calibri" w:cs="Calibri"/>
          <w:sz w:val="24"/>
          <w:szCs w:val="24"/>
        </w:rPr>
        <w:t xml:space="preserve"> wys</w:t>
      </w:r>
      <w:r w:rsidRPr="00B01331">
        <w:rPr>
          <w:rFonts w:ascii="Calibri" w:hAnsi="Calibri" w:cs="Calibri"/>
          <w:sz w:val="24"/>
          <w:szCs w:val="24"/>
        </w:rPr>
        <w:t xml:space="preserve">.)  </w:t>
      </w:r>
      <w:r w:rsidRPr="00226AB5">
        <w:rPr>
          <w:rFonts w:ascii="Calibri" w:hAnsi="Calibri" w:cs="Calibri"/>
          <w:color w:val="FF0000"/>
          <w:sz w:val="24"/>
          <w:szCs w:val="24"/>
        </w:rPr>
        <w:t>16</w:t>
      </w:r>
      <w:r w:rsidR="00226AB5" w:rsidRPr="00226AB5">
        <w:rPr>
          <w:rFonts w:ascii="Calibri" w:hAnsi="Calibri" w:cs="Calibri"/>
          <w:color w:val="FF0000"/>
          <w:sz w:val="24"/>
          <w:szCs w:val="24"/>
        </w:rPr>
        <w:t>5</w:t>
      </w:r>
      <w:r w:rsidRPr="00226AB5">
        <w:rPr>
          <w:rFonts w:ascii="Calibri" w:hAnsi="Calibri" w:cs="Calibri"/>
          <w:color w:val="FF0000"/>
          <w:sz w:val="24"/>
          <w:szCs w:val="24"/>
        </w:rPr>
        <w:t xml:space="preserve"> x 1</w:t>
      </w:r>
      <w:r w:rsidR="00226AB5" w:rsidRPr="00226AB5">
        <w:rPr>
          <w:rFonts w:ascii="Calibri" w:hAnsi="Calibri" w:cs="Calibri"/>
          <w:color w:val="FF0000"/>
          <w:sz w:val="24"/>
          <w:szCs w:val="24"/>
        </w:rPr>
        <w:t>60</w:t>
      </w:r>
      <w:r w:rsidRPr="00226AB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01331">
        <w:rPr>
          <w:rFonts w:ascii="Calibri" w:hAnsi="Calibri" w:cs="Calibri"/>
          <w:sz w:val="24"/>
          <w:szCs w:val="24"/>
        </w:rPr>
        <w:t>x 1</w:t>
      </w:r>
      <w:r w:rsidR="009D242E">
        <w:rPr>
          <w:rFonts w:ascii="Calibri" w:hAnsi="Calibri" w:cs="Calibri"/>
          <w:sz w:val="24"/>
          <w:szCs w:val="24"/>
        </w:rPr>
        <w:t>30</w:t>
      </w:r>
      <w:r w:rsidRPr="00B01331">
        <w:rPr>
          <w:rFonts w:ascii="Calibri" w:hAnsi="Calibri" w:cs="Calibri"/>
          <w:sz w:val="24"/>
          <w:szCs w:val="24"/>
        </w:rPr>
        <w:t xml:space="preserve"> mm</w:t>
      </w:r>
    </w:p>
    <w:p w14:paraId="329BBCCF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Zasilanie 240V, 50/60Hz</w:t>
      </w:r>
    </w:p>
    <w:p w14:paraId="1BA7184F" w14:textId="77777777" w:rsidR="000A3674" w:rsidRPr="00B01331" w:rsidRDefault="000A3674" w:rsidP="000A367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Dodatkowo w zestawie:</w:t>
      </w:r>
    </w:p>
    <w:p w14:paraId="745C50A2" w14:textId="47CA282E" w:rsidR="000A3674" w:rsidRPr="00B01331" w:rsidRDefault="00DC0E56" w:rsidP="00DC0E56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0A3674" w:rsidRPr="00B01331">
        <w:rPr>
          <w:rFonts w:ascii="Calibri" w:hAnsi="Calibri" w:cs="Calibri"/>
          <w:sz w:val="24"/>
          <w:szCs w:val="24"/>
        </w:rPr>
        <w:t>udełko na rotory</w:t>
      </w:r>
      <w:r>
        <w:rPr>
          <w:rFonts w:ascii="Calibri" w:hAnsi="Calibri" w:cs="Calibri"/>
          <w:sz w:val="24"/>
          <w:szCs w:val="24"/>
        </w:rPr>
        <w:t>,</w:t>
      </w:r>
    </w:p>
    <w:p w14:paraId="148E5110" w14:textId="1A0C402B" w:rsidR="000A3674" w:rsidRPr="00B01331" w:rsidRDefault="00DC0E56" w:rsidP="00DC0E56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A3674" w:rsidRPr="00B01331">
        <w:rPr>
          <w:rFonts w:ascii="Calibri" w:hAnsi="Calibri" w:cs="Calibri"/>
          <w:sz w:val="24"/>
          <w:szCs w:val="24"/>
        </w:rPr>
        <w:t>tatyw na probówki</w:t>
      </w:r>
      <w:r>
        <w:rPr>
          <w:rFonts w:ascii="Calibri" w:hAnsi="Calibri" w:cs="Calibri"/>
          <w:sz w:val="24"/>
          <w:szCs w:val="24"/>
        </w:rPr>
        <w:t>.</w:t>
      </w:r>
    </w:p>
    <w:p w14:paraId="50D515ED" w14:textId="7FCF2256" w:rsidR="0095537D" w:rsidRPr="00383D8F" w:rsidRDefault="00983FAC" w:rsidP="00C652EF">
      <w:pPr>
        <w:pStyle w:val="Nagwek2"/>
        <w:ind w:left="567" w:right="-1" w:hanging="567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C652EF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C652EF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60CF4EC1" w14:textId="3211FE4B" w:rsidR="00320463" w:rsidRPr="00320463" w:rsidRDefault="00320463" w:rsidP="00C652EF">
      <w:pPr>
        <w:pStyle w:val="Akapitzlist"/>
        <w:numPr>
          <w:ilvl w:val="1"/>
          <w:numId w:val="2"/>
        </w:numPr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320463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C652EF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E7BD3" w:rsidRDefault="00204CA6" w:rsidP="00C02159">
      <w:pPr>
        <w:pStyle w:val="Akapitzlist"/>
        <w:numPr>
          <w:ilvl w:val="0"/>
          <w:numId w:val="10"/>
        </w:numPr>
        <w:spacing w:line="360" w:lineRule="auto"/>
        <w:ind w:left="851" w:right="-1" w:hanging="284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DE7BD3" w:rsidRDefault="00204CA6" w:rsidP="00C02159">
      <w:pPr>
        <w:pStyle w:val="Akapitzlist"/>
        <w:numPr>
          <w:ilvl w:val="0"/>
          <w:numId w:val="10"/>
        </w:numPr>
        <w:spacing w:line="360" w:lineRule="auto"/>
        <w:ind w:left="851" w:right="-1" w:hanging="284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E7BD3" w:rsidRDefault="00204CA6" w:rsidP="00C02159">
      <w:pPr>
        <w:pStyle w:val="Akapitzlist"/>
        <w:numPr>
          <w:ilvl w:val="0"/>
          <w:numId w:val="10"/>
        </w:numPr>
        <w:spacing w:line="360" w:lineRule="auto"/>
        <w:ind w:left="851" w:right="-1" w:hanging="284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lastRenderedPageBreak/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5985D122" w14:textId="7660AB23" w:rsidR="00525860" w:rsidRPr="00BC26BF" w:rsidRDefault="009D713C" w:rsidP="00525860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7DB4E854" w14:textId="77777777" w:rsidR="00525860" w:rsidRPr="00BC26BF" w:rsidRDefault="00525860" w:rsidP="00525860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2041DCB2" w14:textId="77777777" w:rsidR="00525860" w:rsidRDefault="00525860" w:rsidP="00525860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19BC6E03" w14:textId="77777777" w:rsidR="00525860" w:rsidRDefault="00525860" w:rsidP="00525860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4611DFB8" w14:textId="77777777" w:rsidR="00525860" w:rsidRDefault="00525860" w:rsidP="00525860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525860" w:rsidRDefault="006524D6" w:rsidP="00C652EF">
      <w:pPr>
        <w:spacing w:after="24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525860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25860">
        <w:rPr>
          <w:rFonts w:asciiTheme="minorHAnsi" w:hAnsiTheme="minorHAnsi" w:cstheme="minorHAnsi"/>
          <w:sz w:val="24"/>
          <w:szCs w:val="24"/>
        </w:rPr>
        <w:br/>
      </w:r>
      <w:r w:rsidRPr="00525860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383D8F" w:rsidRDefault="00204CA6" w:rsidP="00C652EF">
      <w:pPr>
        <w:tabs>
          <w:tab w:val="right" w:leader="dot" w:pos="9639"/>
        </w:tabs>
        <w:spacing w:line="48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C652EF">
          <w:headerReference w:type="default" r:id="rId8"/>
          <w:footerReference w:type="default" r:id="rId9"/>
          <w:pgSz w:w="11910" w:h="16840"/>
          <w:pgMar w:top="964" w:right="995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07285CC9" w14:textId="77777777" w:rsidR="000A3674" w:rsidRPr="006035E9" w:rsidRDefault="000A3674" w:rsidP="000A3674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035E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 do SWZ</w:t>
      </w:r>
    </w:p>
    <w:p w14:paraId="327C2F5C" w14:textId="77777777" w:rsidR="000A3674" w:rsidRPr="00303344" w:rsidRDefault="000A3674" w:rsidP="000A3674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131B9EE" w14:textId="77777777" w:rsidR="000A3674" w:rsidRPr="00C10C2C" w:rsidRDefault="000A3674" w:rsidP="000A3674">
      <w:pPr>
        <w:keepNext/>
        <w:spacing w:line="360" w:lineRule="auto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 – CZĘŚĆ NR 5</w:t>
      </w:r>
    </w:p>
    <w:p w14:paraId="4BB6D3AD" w14:textId="4B1F5209" w:rsidR="000A3674" w:rsidRDefault="000F4F8C" w:rsidP="000A367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105C47">
        <w:rPr>
          <w:rFonts w:asciiTheme="minorHAnsi" w:hAnsiTheme="minorHAnsi" w:cstheme="minorHAnsi"/>
        </w:rPr>
        <w:t>Dostawa wraz z rozładunkiem, wniesieniem</w:t>
      </w:r>
      <w:r>
        <w:rPr>
          <w:rFonts w:asciiTheme="minorHAnsi" w:hAnsiTheme="minorHAnsi" w:cstheme="minorHAnsi"/>
        </w:rPr>
        <w:t xml:space="preserve"> </w:t>
      </w:r>
      <w:r w:rsidRPr="00105C47">
        <w:rPr>
          <w:rFonts w:asciiTheme="minorHAnsi" w:hAnsiTheme="minorHAnsi" w:cstheme="minorHAnsi"/>
        </w:rPr>
        <w:t>oraz dostarczeniem instrukcji stanowiskowej do:</w:t>
      </w:r>
      <w:r>
        <w:rPr>
          <w:rFonts w:asciiTheme="minorHAnsi" w:hAnsiTheme="minorHAnsi" w:cstheme="minorHAnsi"/>
        </w:rPr>
        <w:t xml:space="preserve"> </w:t>
      </w:r>
      <w:r w:rsidR="000A3674" w:rsidRPr="00C10C2C">
        <w:rPr>
          <w:rFonts w:asciiTheme="minorHAnsi" w:hAnsiTheme="minorHAnsi" w:cstheme="minorHAnsi"/>
          <w:color w:val="000000"/>
        </w:rPr>
        <w:t xml:space="preserve"> </w:t>
      </w:r>
    </w:p>
    <w:p w14:paraId="3FE3631F" w14:textId="77777777" w:rsidR="000A3674" w:rsidRDefault="000A3674" w:rsidP="000A367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5E7CD9" w14:textId="74AFFCF2" w:rsidR="000A3674" w:rsidRDefault="000A3674" w:rsidP="009D242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Miniwirówka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laboratoryjna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– 1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1165B9">
        <w:rPr>
          <w:rFonts w:asciiTheme="minorHAnsi" w:hAnsiTheme="minorHAnsi" w:cstheme="minorHAnsi"/>
          <w:b/>
          <w:color w:val="000000"/>
          <w:sz w:val="28"/>
          <w:u w:val="single"/>
        </w:rPr>
        <w:t>szt.</w:t>
      </w:r>
    </w:p>
    <w:p w14:paraId="70E8497A" w14:textId="77777777" w:rsidR="000A3674" w:rsidRPr="00303344" w:rsidRDefault="000A3674" w:rsidP="000A3674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A57B373" w14:textId="77777777" w:rsidR="000A3674" w:rsidRPr="00303344" w:rsidRDefault="000A3674" w:rsidP="000A3674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318C0C6F" w14:textId="77777777" w:rsidR="000A3674" w:rsidRDefault="000A3674" w:rsidP="000A3674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64C5C701" w14:textId="77777777" w:rsidR="000A3674" w:rsidRDefault="000A3674" w:rsidP="000A367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1270528C" w14:textId="77777777" w:rsidR="000A3674" w:rsidRPr="00B01331" w:rsidRDefault="000A3674" w:rsidP="000A367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01331">
        <w:rPr>
          <w:rFonts w:ascii="Calibri" w:hAnsi="Calibri" w:cs="Calibri"/>
          <w:sz w:val="24"/>
          <w:szCs w:val="24"/>
        </w:rPr>
        <w:t>Wymiana wirnika bez użycia narzędzi.</w:t>
      </w:r>
    </w:p>
    <w:p w14:paraId="7A1B8EE3" w14:textId="0006D1E0" w:rsidR="000A3674" w:rsidRPr="00582C80" w:rsidRDefault="000A3674" w:rsidP="000A3674">
      <w:pPr>
        <w:pStyle w:val="Bezodstpw"/>
        <w:spacing w:line="360" w:lineRule="auto"/>
        <w:ind w:left="720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 w:rsidR="000F4F8C">
        <w:rPr>
          <w:rFonts w:cstheme="minorHAnsi"/>
          <w:bCs/>
          <w:color w:val="000000"/>
        </w:rPr>
        <w:t>20</w:t>
      </w:r>
    </w:p>
    <w:p w14:paraId="0E4585FE" w14:textId="77777777" w:rsidR="000A3674" w:rsidRDefault="000A3674" w:rsidP="000A367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C320790" w14:textId="77777777" w:rsidR="000A3674" w:rsidRPr="00A0735A" w:rsidRDefault="000A3674" w:rsidP="000A367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4658F22F" w14:textId="77777777" w:rsidR="000A3674" w:rsidRDefault="000A3674" w:rsidP="000A3674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5D4FCADE" w14:textId="77777777" w:rsidR="000A3674" w:rsidRDefault="000A3674" w:rsidP="000A3674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59267FA9" w14:textId="77777777" w:rsidR="000A3674" w:rsidRDefault="000A3674" w:rsidP="000A3674">
      <w:pPr>
        <w:pStyle w:val="Akapitzlist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34FC6E81" w14:textId="77777777" w:rsidR="000A3674" w:rsidRDefault="000A3674" w:rsidP="000A3674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282B38" w14:textId="77777777" w:rsidR="000A3674" w:rsidRDefault="000A3674" w:rsidP="000A3674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0EF3D0" w14:textId="77777777" w:rsidR="000A3674" w:rsidRDefault="000A3674" w:rsidP="000A3674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AC3EB1" w14:textId="77777777" w:rsidR="000A3674" w:rsidRPr="00383D8F" w:rsidRDefault="000A3674" w:rsidP="000A3674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0A3674" w:rsidRPr="00383D8F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0F902BF4" w14:textId="77777777" w:rsidR="000A3674" w:rsidRDefault="000A3674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8F2D6D4" w14:textId="77777777" w:rsidR="000A3674" w:rsidRDefault="000A3674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18E93154" w:rsidR="0095537D" w:rsidRPr="00383D8F" w:rsidRDefault="008A08AC" w:rsidP="00C652EF">
      <w:pPr>
        <w:pStyle w:val="Nagwek1"/>
        <w:ind w:left="567" w:right="-1" w:hanging="567"/>
        <w:jc w:val="center"/>
      </w:pPr>
      <w:r>
        <w:t>OCENA</w:t>
      </w:r>
      <w:r w:rsidR="00A46452" w:rsidRPr="00383D8F">
        <w:t xml:space="preserve"> WARUNKÓW GWARANCJI – </w:t>
      </w:r>
      <w:r w:rsidR="00105506">
        <w:t xml:space="preserve">CZĘŚĆ NR </w:t>
      </w:r>
      <w:r w:rsidR="000A3674">
        <w:t>5</w:t>
      </w:r>
    </w:p>
    <w:p w14:paraId="6A559763" w14:textId="50D6EF62" w:rsidR="001E1DB8" w:rsidRDefault="001E1DB8" w:rsidP="001E1DB8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</w:t>
      </w:r>
      <w:r>
        <w:rPr>
          <w:rFonts w:asciiTheme="minorHAnsi" w:hAnsiTheme="minorHAnsi" w:cstheme="minorHAnsi"/>
        </w:rPr>
        <w:t xml:space="preserve"> </w:t>
      </w:r>
      <w:r w:rsidRPr="00105C47">
        <w:rPr>
          <w:rFonts w:asciiTheme="minorHAnsi" w:hAnsiTheme="minorHAnsi" w:cstheme="minorHAnsi"/>
        </w:rPr>
        <w:t>oraz dostarczeniem instrukcji stanowiskowej do:</w:t>
      </w:r>
      <w:r>
        <w:rPr>
          <w:rFonts w:asciiTheme="minorHAnsi" w:hAnsiTheme="minorHAnsi" w:cstheme="minorHAnsi"/>
        </w:rPr>
        <w:t xml:space="preserve"> </w:t>
      </w:r>
    </w:p>
    <w:p w14:paraId="02FDB21D" w14:textId="77777777" w:rsidR="007C66C1" w:rsidRPr="002F23FD" w:rsidRDefault="007C66C1" w:rsidP="007C66C1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5350057C" w14:textId="58EF1BBF" w:rsidR="000A3674" w:rsidRDefault="000A3674" w:rsidP="009D242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Miniwirówka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laboratoryjna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– 1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1165B9">
        <w:rPr>
          <w:rFonts w:asciiTheme="minorHAnsi" w:hAnsiTheme="minorHAnsi" w:cstheme="minorHAnsi"/>
          <w:b/>
          <w:color w:val="000000"/>
          <w:sz w:val="28"/>
          <w:u w:val="single"/>
        </w:rPr>
        <w:t>szt.</w:t>
      </w:r>
    </w:p>
    <w:p w14:paraId="650BF1DD" w14:textId="77777777" w:rsidR="00724DDB" w:rsidRDefault="00724DDB" w:rsidP="00C652EF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Default="00204CA6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65BFA444" w14:textId="77777777" w:rsidR="00B70790" w:rsidRPr="00383D8F" w:rsidRDefault="00B70790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383D8F" w:rsidRDefault="008C0B5E" w:rsidP="00C652EF">
      <w:pPr>
        <w:pStyle w:val="TableParagraph"/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4A1980F5" w:rsidR="00204CA6" w:rsidRPr="00383D8F" w:rsidRDefault="00204CA6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0A3674">
        <w:rPr>
          <w:rFonts w:asciiTheme="minorHAnsi" w:hAnsiTheme="minorHAnsi" w:cstheme="minorHAnsi"/>
          <w:b/>
          <w:sz w:val="24"/>
          <w:szCs w:val="24"/>
        </w:rPr>
        <w:t>12</w:t>
      </w:r>
      <w:r w:rsidR="00101D24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80194D">
        <w:rPr>
          <w:rFonts w:asciiTheme="minorHAnsi" w:hAnsiTheme="minorHAnsi" w:cstheme="minorHAnsi"/>
          <w:b/>
          <w:sz w:val="24"/>
          <w:szCs w:val="24"/>
        </w:rPr>
        <w:t>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59F715EC" w:rsidR="00204CA6" w:rsidRPr="00383D8F" w:rsidRDefault="001B4EF8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0A3674">
        <w:rPr>
          <w:rFonts w:asciiTheme="minorHAnsi" w:hAnsiTheme="minorHAnsi" w:cstheme="minorHAnsi"/>
          <w:b/>
          <w:sz w:val="24"/>
          <w:szCs w:val="24"/>
        </w:rPr>
        <w:t>12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047F68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C652EF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C652EF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5F340FD6" w:rsidR="00204CA6" w:rsidRPr="00383D8F" w:rsidRDefault="00204CA6" w:rsidP="00C652EF">
      <w:pPr>
        <w:pStyle w:val="TableParagraph"/>
        <w:numPr>
          <w:ilvl w:val="1"/>
          <w:numId w:val="4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0A3674">
        <w:rPr>
          <w:rFonts w:asciiTheme="minorHAnsi" w:hAnsiTheme="minorHAnsi" w:cstheme="minorHAnsi"/>
          <w:sz w:val="24"/>
          <w:szCs w:val="24"/>
        </w:rPr>
        <w:t>12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C652EF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077CB275" w:rsidR="00204CA6" w:rsidRPr="00383D8F" w:rsidRDefault="00204CA6" w:rsidP="00C652EF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0A3674">
        <w:rPr>
          <w:rFonts w:asciiTheme="minorHAnsi" w:hAnsiTheme="minorHAnsi" w:cstheme="minorHAnsi"/>
          <w:sz w:val="24"/>
          <w:szCs w:val="24"/>
        </w:rPr>
        <w:t>12</w:t>
      </w:r>
      <w:r w:rsidR="00101D24">
        <w:rPr>
          <w:rFonts w:asciiTheme="minorHAnsi" w:hAnsiTheme="minorHAnsi" w:cstheme="minorHAnsi"/>
          <w:sz w:val="24"/>
          <w:szCs w:val="24"/>
        </w:rPr>
        <w:t xml:space="preserve"> miesi</w:t>
      </w:r>
      <w:r w:rsidR="0080194D">
        <w:rPr>
          <w:rFonts w:asciiTheme="minorHAnsi" w:hAnsiTheme="minorHAnsi" w:cstheme="minorHAnsi"/>
          <w:sz w:val="24"/>
          <w:szCs w:val="24"/>
        </w:rPr>
        <w:t>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C652EF"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C652EF">
      <w:pPr>
        <w:spacing w:line="360" w:lineRule="auto"/>
        <w:ind w:left="567" w:right="-1" w:hanging="567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7DC7458F" w:rsidR="0095537D" w:rsidRPr="00383D8F" w:rsidRDefault="006524D6" w:rsidP="00C652EF">
      <w:pPr>
        <w:pStyle w:val="Nagwek1"/>
        <w:ind w:left="567" w:right="-1" w:hanging="567"/>
        <w:jc w:val="center"/>
      </w:pPr>
      <w:r w:rsidRPr="00383D8F">
        <w:t>WARUNKI GWARANCJI, RĘKOJMI I SE</w:t>
      </w:r>
      <w:r w:rsidR="00A46452" w:rsidRPr="00383D8F">
        <w:t xml:space="preserve">RWISU GWARANCYJNEGO – </w:t>
      </w:r>
      <w:r w:rsidR="00105506">
        <w:t xml:space="preserve">CZĘŚĆ NR </w:t>
      </w:r>
      <w:r w:rsidR="000A3674">
        <w:t>5</w:t>
      </w:r>
    </w:p>
    <w:p w14:paraId="709DB270" w14:textId="2531D6D7" w:rsidR="001E1DB8" w:rsidRDefault="001E1DB8" w:rsidP="001E1DB8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</w:t>
      </w:r>
      <w:r>
        <w:rPr>
          <w:rFonts w:asciiTheme="minorHAnsi" w:hAnsiTheme="minorHAnsi" w:cstheme="minorHAnsi"/>
        </w:rPr>
        <w:t xml:space="preserve"> </w:t>
      </w:r>
      <w:r w:rsidRPr="00105C47">
        <w:rPr>
          <w:rFonts w:asciiTheme="minorHAnsi" w:hAnsiTheme="minorHAnsi" w:cstheme="minorHAnsi"/>
        </w:rPr>
        <w:t>oraz dostarczeniem instrukcji stanowiskowej</w:t>
      </w:r>
      <w:r>
        <w:rPr>
          <w:rFonts w:asciiTheme="minorHAnsi" w:hAnsiTheme="minorHAnsi" w:cstheme="minorHAnsi"/>
        </w:rPr>
        <w:t xml:space="preserve"> do</w:t>
      </w:r>
      <w:r w:rsidRPr="00105C4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0DBDDAC5" w14:textId="77777777" w:rsidR="007C66C1" w:rsidRPr="002F23FD" w:rsidRDefault="007C66C1" w:rsidP="007C66C1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3FEF388B" w14:textId="25651597" w:rsidR="000A3674" w:rsidRDefault="000A3674" w:rsidP="009D242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Miniwirówka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laboratoryjna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– 1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1165B9">
        <w:rPr>
          <w:rFonts w:asciiTheme="minorHAnsi" w:hAnsiTheme="minorHAnsi" w:cstheme="minorHAnsi"/>
          <w:b/>
          <w:color w:val="000000"/>
          <w:sz w:val="28"/>
          <w:u w:val="single"/>
        </w:rPr>
        <w:t>szt.</w:t>
      </w:r>
    </w:p>
    <w:p w14:paraId="34FF8A97" w14:textId="77777777" w:rsidR="00724DDB" w:rsidRDefault="00724DDB" w:rsidP="00C652EF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371FCD17" w14:textId="77777777" w:rsidR="006524D6" w:rsidRPr="00383D8F" w:rsidRDefault="006524D6" w:rsidP="00C652EF">
      <w:pPr>
        <w:pStyle w:val="Nagwek2"/>
        <w:numPr>
          <w:ilvl w:val="0"/>
          <w:numId w:val="5"/>
        </w:numPr>
        <w:ind w:left="567" w:right="-1" w:hanging="567"/>
      </w:pPr>
      <w:r w:rsidRPr="00383D8F">
        <w:t>WARUNKI GWARANCJI, RĘKOJMI I SERWISU GWARANCYJNEGO</w:t>
      </w:r>
    </w:p>
    <w:p w14:paraId="5A0BB8D4" w14:textId="113C8CF4" w:rsidR="0095537D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0E364343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</w:t>
      </w:r>
      <w:r w:rsidR="00DE0FE0">
        <w:rPr>
          <w:rFonts w:asciiTheme="minorHAnsi" w:hAnsiTheme="minorHAnsi" w:cstheme="minorHAnsi"/>
          <w:sz w:val="24"/>
          <w:szCs w:val="24"/>
        </w:rPr>
        <w:t>producenta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będą wykonane na koszt Wykonawcy,</w:t>
      </w:r>
    </w:p>
    <w:p w14:paraId="09DC9AA3" w14:textId="2B2BEBAF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A2875F6" w14:textId="5D0D5D3A" w:rsidR="00C91C16" w:rsidRPr="00C91C16" w:rsidRDefault="00C91C16" w:rsidP="00C91C16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C91C16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</w:t>
      </w:r>
      <w:r w:rsidRPr="00383D8F">
        <w:rPr>
          <w:rFonts w:asciiTheme="minorHAnsi" w:hAnsiTheme="minorHAnsi" w:cstheme="minorHAnsi"/>
          <w:sz w:val="24"/>
          <w:szCs w:val="24"/>
        </w:rPr>
        <w:t xml:space="preserve"> Wykonawca przeprowadzi w okresie gwarancji co najmniej jeden przegląd urządzenia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83D8F">
        <w:rPr>
          <w:rFonts w:asciiTheme="minorHAnsi" w:hAnsiTheme="minorHAnsi" w:cstheme="minorHAnsi"/>
          <w:sz w:val="24"/>
          <w:szCs w:val="24"/>
        </w:rPr>
        <w:t xml:space="preserve"> Ostatni przegląd stanu technicznego w okresie gwarancji, będzie zrealizowany nie wcześniej niż 60 dni przed terminem zakończenia okresu gwarancji</w:t>
      </w:r>
      <w:r w:rsidRPr="00C91C16">
        <w:rPr>
          <w:rFonts w:asciiTheme="minorHAnsi" w:hAnsiTheme="minorHAnsi" w:cstheme="minorHAnsi"/>
          <w:sz w:val="24"/>
          <w:szCs w:val="24"/>
        </w:rPr>
        <w:t>,</w:t>
      </w:r>
    </w:p>
    <w:p w14:paraId="7DCC10A4" w14:textId="54899DB0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C652EF">
      <w:pPr>
        <w:pStyle w:val="TableParagraph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C652EF">
      <w:pPr>
        <w:pStyle w:val="Akapitzlist"/>
        <w:numPr>
          <w:ilvl w:val="0"/>
          <w:numId w:val="6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83D8F" w:rsidRDefault="008C0B5E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C652EF">
          <w:type w:val="continuous"/>
          <w:pgSz w:w="11910" w:h="16840"/>
          <w:pgMar w:top="1400" w:right="995" w:bottom="280" w:left="851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C652EF">
      <w:pPr>
        <w:spacing w:line="360" w:lineRule="auto"/>
        <w:ind w:left="567" w:right="-1" w:hanging="567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6DBC07FF" w:rsidR="0095537D" w:rsidRPr="00383D8F" w:rsidRDefault="006524D6" w:rsidP="00C652EF">
      <w:pPr>
        <w:pStyle w:val="Nagwek1"/>
        <w:ind w:left="567" w:right="-1" w:hanging="567"/>
        <w:jc w:val="center"/>
      </w:pPr>
      <w:r w:rsidRPr="00383D8F">
        <w:t xml:space="preserve">PROCEDURA DOSTAW </w:t>
      </w:r>
      <w:r w:rsidR="00A46452" w:rsidRPr="00383D8F">
        <w:t xml:space="preserve">I ODBIORÓW URZĄDZEŃ – </w:t>
      </w:r>
      <w:r w:rsidR="00105506">
        <w:t xml:space="preserve">CZĘŚĆ NR </w:t>
      </w:r>
      <w:r w:rsidR="000A3674">
        <w:t>5</w:t>
      </w:r>
    </w:p>
    <w:p w14:paraId="6CD36E18" w14:textId="06336EDB" w:rsidR="001E1DB8" w:rsidRDefault="001E1DB8" w:rsidP="001E1DB8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</w:t>
      </w:r>
      <w:r>
        <w:rPr>
          <w:rFonts w:asciiTheme="minorHAnsi" w:hAnsiTheme="minorHAnsi" w:cstheme="minorHAnsi"/>
        </w:rPr>
        <w:t xml:space="preserve"> </w:t>
      </w:r>
      <w:r w:rsidRPr="00105C47">
        <w:rPr>
          <w:rFonts w:asciiTheme="minorHAnsi" w:hAnsiTheme="minorHAnsi" w:cstheme="minorHAnsi"/>
        </w:rPr>
        <w:t>oraz dostarczeniem instrukcji stanowiskowej:</w:t>
      </w:r>
      <w:r>
        <w:rPr>
          <w:rFonts w:asciiTheme="minorHAnsi" w:hAnsiTheme="minorHAnsi" w:cstheme="minorHAnsi"/>
        </w:rPr>
        <w:t xml:space="preserve"> </w:t>
      </w:r>
    </w:p>
    <w:p w14:paraId="2228F8A0" w14:textId="77777777" w:rsidR="007C66C1" w:rsidRPr="002F23FD" w:rsidRDefault="007C66C1" w:rsidP="007C66C1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575905CF" w14:textId="6216B811" w:rsidR="000A3674" w:rsidRDefault="000A3674" w:rsidP="000F4F8C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Miniwirówka</w:t>
      </w:r>
      <w:proofErr w:type="spellEnd"/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laboratoryjna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– 1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 w:rsidR="001165B9">
        <w:rPr>
          <w:rFonts w:asciiTheme="minorHAnsi" w:hAnsiTheme="minorHAnsi" w:cstheme="minorHAnsi"/>
          <w:b/>
          <w:color w:val="000000"/>
          <w:sz w:val="28"/>
          <w:u w:val="single"/>
        </w:rPr>
        <w:t>szt.</w:t>
      </w:r>
    </w:p>
    <w:p w14:paraId="2443233E" w14:textId="77777777" w:rsidR="008C0B5E" w:rsidRPr="00383D8F" w:rsidRDefault="008C0B5E" w:rsidP="00C652EF">
      <w:pPr>
        <w:pStyle w:val="Nagwek2"/>
        <w:numPr>
          <w:ilvl w:val="0"/>
          <w:numId w:val="7"/>
        </w:numPr>
        <w:ind w:left="567" w:right="-1" w:hanging="567"/>
      </w:pPr>
      <w:r w:rsidRPr="00383D8F">
        <w:t>PROCEDURA DOSTAW URZĄDZEŃ</w:t>
      </w:r>
    </w:p>
    <w:p w14:paraId="3EABC5EF" w14:textId="2B8288AC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0C3CC7C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>, zainstalowanie, uruchomienie urządzeń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i dostarczenie instrukcji stanowiskowej 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>oraz jej wdrożenie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rozładunku lub wnoszenia urządzeń,</w:t>
      </w:r>
    </w:p>
    <w:p w14:paraId="3470252A" w14:textId="29FD46E2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03E55E80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Użytkownika lub osobę upoważnioną</w:t>
      </w:r>
      <w:r w:rsidR="001E1DB8">
        <w:rPr>
          <w:rFonts w:asciiTheme="minorHAnsi" w:hAnsiTheme="minorHAnsi" w:cstheme="minorHAnsi"/>
          <w:sz w:val="24"/>
          <w:szCs w:val="24"/>
        </w:rPr>
        <w:t>.</w:t>
      </w:r>
    </w:p>
    <w:p w14:paraId="5A543517" w14:textId="3D39CE8C" w:rsidR="00F92A4E" w:rsidRPr="001E1DB8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trike/>
        </w:rPr>
      </w:pPr>
      <w:r w:rsidRPr="001E1DB8">
        <w:rPr>
          <w:rFonts w:asciiTheme="minorHAnsi" w:hAnsiTheme="minorHAnsi" w:cstheme="minorHAnsi"/>
          <w:strike/>
          <w:sz w:val="24"/>
          <w:szCs w:val="24"/>
        </w:rPr>
        <w:t>W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BECC123" w:rsidR="00F92A4E" w:rsidRPr="001E1DB8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trike/>
        </w:rPr>
      </w:pPr>
      <w:r w:rsidRPr="001E1DB8">
        <w:rPr>
          <w:rFonts w:asciiTheme="minorHAnsi" w:hAnsiTheme="minorHAnsi" w:cstheme="minorHAnsi"/>
          <w:strike/>
          <w:sz w:val="24"/>
          <w:szCs w:val="24"/>
        </w:rPr>
        <w:t>W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1E1DB8">
        <w:rPr>
          <w:rFonts w:asciiTheme="minorHAnsi" w:hAnsiTheme="minorHAnsi" w:cstheme="minorHAnsi"/>
          <w:strike/>
          <w:sz w:val="24"/>
          <w:szCs w:val="24"/>
        </w:rPr>
        <w:br/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4D94EEE8" w:rsidR="00F92A4E" w:rsidRPr="001E1DB8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trike/>
        </w:rPr>
      </w:pPr>
      <w:r w:rsidRPr="001E1DB8">
        <w:rPr>
          <w:rFonts w:asciiTheme="minorHAnsi" w:hAnsiTheme="minorHAnsi" w:cstheme="minorHAnsi"/>
          <w:strike/>
          <w:sz w:val="24"/>
          <w:szCs w:val="24"/>
        </w:rPr>
        <w:t>W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lastRenderedPageBreak/>
        <w:t>opakowania i materiały,</w:t>
      </w:r>
    </w:p>
    <w:p w14:paraId="3EB7AF1A" w14:textId="21F2BB47" w:rsidR="00F92A4E" w:rsidRPr="001E1DB8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trike/>
        </w:rPr>
      </w:pPr>
      <w:r w:rsidRPr="001E1DB8">
        <w:rPr>
          <w:rFonts w:asciiTheme="minorHAnsi" w:hAnsiTheme="minorHAnsi" w:cstheme="minorHAnsi"/>
          <w:strike/>
          <w:sz w:val="24"/>
          <w:szCs w:val="24"/>
        </w:rPr>
        <w:t>W</w:t>
      </w:r>
      <w:r w:rsidR="00F92A4E" w:rsidRPr="001E1DB8">
        <w:rPr>
          <w:rFonts w:asciiTheme="minorHAnsi" w:hAnsiTheme="minorHAnsi" w:cstheme="minorHAnsi"/>
          <w:strike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1E1DB8">
        <w:rPr>
          <w:rFonts w:asciiTheme="minorHAnsi" w:hAnsiTheme="minorHAnsi" w:cstheme="minorHAnsi"/>
          <w:strike/>
          <w:sz w:val="24"/>
          <w:szCs w:val="24"/>
        </w:rPr>
        <w:t>,</w:t>
      </w:r>
    </w:p>
    <w:p w14:paraId="27C557AE" w14:textId="6972CF0D" w:rsidR="00B16969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C652EF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C652EF">
      <w:pPr>
        <w:pStyle w:val="Nagwek2"/>
        <w:ind w:left="567" w:right="-1" w:hanging="567"/>
      </w:pPr>
      <w:r w:rsidRPr="00383D8F">
        <w:t>PROCEDURA ODBIORU URZĄDZEŃ</w:t>
      </w:r>
    </w:p>
    <w:p w14:paraId="12C6D552" w14:textId="3BDFFCD1" w:rsidR="00B1696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C652EF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</w:t>
      </w:r>
      <w:r w:rsidR="00AB1529" w:rsidRPr="00575097">
        <w:rPr>
          <w:rFonts w:asciiTheme="minorHAnsi" w:hAnsiTheme="minorHAnsi" w:cstheme="minorHAnsi"/>
          <w:strike/>
          <w:sz w:val="24"/>
          <w:szCs w:val="24"/>
        </w:rPr>
        <w:t>wdrożeniu instrukcji stanowiskowej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oraz po ustaleniu dogodnego terminu z Bezpośrednim Użytkownikiem. Wyklucza się odbiór częściowy,</w:t>
      </w:r>
    </w:p>
    <w:p w14:paraId="70F26D9F" w14:textId="56946DDF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4081C172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7B0CA2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49A80A5C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1011F73A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02C0F80A" w:rsidR="00AB1529" w:rsidRPr="00383D8F" w:rsidRDefault="00AB1529" w:rsidP="00C02159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 urządzenia;</w:t>
      </w:r>
    </w:p>
    <w:p w14:paraId="025FE0A4" w14:textId="77777777" w:rsidR="00AB1529" w:rsidRPr="00383D8F" w:rsidRDefault="00AB1529" w:rsidP="00C02159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34F01121" w:rsidR="00AB1529" w:rsidRPr="00383D8F" w:rsidRDefault="00505232" w:rsidP="00C652EF">
      <w:pPr>
        <w:pStyle w:val="TableParagraph"/>
        <w:numPr>
          <w:ilvl w:val="1"/>
          <w:numId w:val="2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FC2558" w:rsidRDefault="00AB1529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i/>
        </w:rPr>
      </w:pPr>
      <w:r w:rsidRPr="00FC2558">
        <w:rPr>
          <w:rFonts w:asciiTheme="minorHAnsi" w:hAnsiTheme="minorHAnsi" w:cstheme="minorHAnsi"/>
          <w:b/>
        </w:rPr>
        <w:t xml:space="preserve">Kwalifikowany podpis elektroniczny Wykonawcy: </w:t>
      </w:r>
      <w:r w:rsidRPr="00FC2558">
        <w:rPr>
          <w:rFonts w:asciiTheme="minorHAnsi" w:hAnsiTheme="minorHAnsi" w:cstheme="minorHAnsi"/>
          <w:b/>
        </w:rPr>
        <w:tab/>
      </w:r>
    </w:p>
    <w:sectPr w:rsidR="0095537D" w:rsidRPr="00FC2558" w:rsidSect="00C652EF">
      <w:type w:val="continuous"/>
      <w:pgSz w:w="11910" w:h="16840"/>
      <w:pgMar w:top="1400" w:right="995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10C0C" w14:textId="77777777" w:rsidR="00675F37" w:rsidRDefault="00675F37" w:rsidP="00EE7F46">
      <w:r>
        <w:separator/>
      </w:r>
    </w:p>
  </w:endnote>
  <w:endnote w:type="continuationSeparator" w:id="0">
    <w:p w14:paraId="26B90071" w14:textId="77777777" w:rsidR="00675F37" w:rsidRDefault="00675F37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70E57" w14:textId="77777777" w:rsidR="00675F37" w:rsidRDefault="00675F37" w:rsidP="00EE7F46">
      <w:r>
        <w:separator/>
      </w:r>
    </w:p>
  </w:footnote>
  <w:footnote w:type="continuationSeparator" w:id="0">
    <w:p w14:paraId="77FC442D" w14:textId="77777777" w:rsidR="00675F37" w:rsidRDefault="00675F37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3AD"/>
    <w:multiLevelType w:val="hybridMultilevel"/>
    <w:tmpl w:val="97EA7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C1368"/>
    <w:multiLevelType w:val="hybridMultilevel"/>
    <w:tmpl w:val="82E61E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114AF7"/>
    <w:multiLevelType w:val="hybridMultilevel"/>
    <w:tmpl w:val="4AFE891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E493E2C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3C93"/>
    <w:multiLevelType w:val="hybridMultilevel"/>
    <w:tmpl w:val="171017BC"/>
    <w:lvl w:ilvl="0" w:tplc="E594EF3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D560EF"/>
    <w:multiLevelType w:val="hybridMultilevel"/>
    <w:tmpl w:val="047A0F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4EB0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3F6E"/>
    <w:multiLevelType w:val="hybridMultilevel"/>
    <w:tmpl w:val="1B667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53FEB"/>
    <w:multiLevelType w:val="hybridMultilevel"/>
    <w:tmpl w:val="F866E698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70B2F"/>
    <w:multiLevelType w:val="hybridMultilevel"/>
    <w:tmpl w:val="7F7C3F9E"/>
    <w:lvl w:ilvl="0" w:tplc="48E60F1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3221C"/>
    <w:multiLevelType w:val="hybridMultilevel"/>
    <w:tmpl w:val="AA9E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7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AA0"/>
    <w:multiLevelType w:val="hybridMultilevel"/>
    <w:tmpl w:val="0A40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113BF"/>
    <w:multiLevelType w:val="hybridMultilevel"/>
    <w:tmpl w:val="5E26584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CBE61D8"/>
    <w:multiLevelType w:val="hybridMultilevel"/>
    <w:tmpl w:val="EF6220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12"/>
  </w:num>
  <w:num w:numId="9">
    <w:abstractNumId w:val="6"/>
  </w:num>
  <w:num w:numId="10">
    <w:abstractNumId w:val="4"/>
  </w:num>
  <w:num w:numId="11">
    <w:abstractNumId w:val="14"/>
  </w:num>
  <w:num w:numId="12">
    <w:abstractNumId w:val="20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0"/>
  </w:num>
  <w:num w:numId="18">
    <w:abstractNumId w:val="8"/>
  </w:num>
  <w:num w:numId="19">
    <w:abstractNumId w:val="5"/>
  </w:num>
  <w:num w:numId="20">
    <w:abstractNumId w:val="17"/>
  </w:num>
  <w:num w:numId="21">
    <w:abstractNumId w:val="3"/>
  </w:num>
  <w:num w:numId="22">
    <w:abstractNumId w:val="9"/>
  </w:num>
  <w:num w:numId="2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12DC2"/>
    <w:rsid w:val="00030067"/>
    <w:rsid w:val="00044D4B"/>
    <w:rsid w:val="00046B06"/>
    <w:rsid w:val="000478D5"/>
    <w:rsid w:val="00047F68"/>
    <w:rsid w:val="000526C1"/>
    <w:rsid w:val="00064108"/>
    <w:rsid w:val="00077F8E"/>
    <w:rsid w:val="000837B7"/>
    <w:rsid w:val="000858BA"/>
    <w:rsid w:val="000A3674"/>
    <w:rsid w:val="000F1E3F"/>
    <w:rsid w:val="000F4F8C"/>
    <w:rsid w:val="00101D24"/>
    <w:rsid w:val="00105506"/>
    <w:rsid w:val="00105565"/>
    <w:rsid w:val="00105C47"/>
    <w:rsid w:val="00105D57"/>
    <w:rsid w:val="001113AD"/>
    <w:rsid w:val="00112155"/>
    <w:rsid w:val="001165B9"/>
    <w:rsid w:val="00124D82"/>
    <w:rsid w:val="00126F59"/>
    <w:rsid w:val="001514A4"/>
    <w:rsid w:val="001616AC"/>
    <w:rsid w:val="00161D53"/>
    <w:rsid w:val="001743A8"/>
    <w:rsid w:val="0018662F"/>
    <w:rsid w:val="00187B9D"/>
    <w:rsid w:val="001A2456"/>
    <w:rsid w:val="001A283B"/>
    <w:rsid w:val="001B1256"/>
    <w:rsid w:val="001B4EF8"/>
    <w:rsid w:val="001D3E83"/>
    <w:rsid w:val="001D5A6E"/>
    <w:rsid w:val="001D6277"/>
    <w:rsid w:val="001E1DB8"/>
    <w:rsid w:val="001F5C0C"/>
    <w:rsid w:val="001F68B0"/>
    <w:rsid w:val="001F79C8"/>
    <w:rsid w:val="00204CA6"/>
    <w:rsid w:val="002135F9"/>
    <w:rsid w:val="0021701F"/>
    <w:rsid w:val="002216EB"/>
    <w:rsid w:val="0022241B"/>
    <w:rsid w:val="00224606"/>
    <w:rsid w:val="002259AB"/>
    <w:rsid w:val="00226702"/>
    <w:rsid w:val="00226AB5"/>
    <w:rsid w:val="00237D95"/>
    <w:rsid w:val="0024083A"/>
    <w:rsid w:val="00262417"/>
    <w:rsid w:val="00284379"/>
    <w:rsid w:val="002923FF"/>
    <w:rsid w:val="002B1B84"/>
    <w:rsid w:val="002B51F3"/>
    <w:rsid w:val="002D39C6"/>
    <w:rsid w:val="002D5712"/>
    <w:rsid w:val="002D5BEB"/>
    <w:rsid w:val="002D6773"/>
    <w:rsid w:val="002E1EA4"/>
    <w:rsid w:val="002E3BF6"/>
    <w:rsid w:val="002E72AC"/>
    <w:rsid w:val="002E783F"/>
    <w:rsid w:val="002F23FD"/>
    <w:rsid w:val="003052A0"/>
    <w:rsid w:val="00310E77"/>
    <w:rsid w:val="00320463"/>
    <w:rsid w:val="0032320B"/>
    <w:rsid w:val="00334231"/>
    <w:rsid w:val="00351385"/>
    <w:rsid w:val="00353551"/>
    <w:rsid w:val="00354217"/>
    <w:rsid w:val="00363021"/>
    <w:rsid w:val="003642E7"/>
    <w:rsid w:val="00365CE0"/>
    <w:rsid w:val="00373607"/>
    <w:rsid w:val="00383D8F"/>
    <w:rsid w:val="0038614E"/>
    <w:rsid w:val="00397E3B"/>
    <w:rsid w:val="003B1B88"/>
    <w:rsid w:val="003B2E7F"/>
    <w:rsid w:val="003B3DDB"/>
    <w:rsid w:val="003C0D3B"/>
    <w:rsid w:val="003E1F20"/>
    <w:rsid w:val="003E2476"/>
    <w:rsid w:val="003E47B0"/>
    <w:rsid w:val="003E62E9"/>
    <w:rsid w:val="004005A1"/>
    <w:rsid w:val="00400FA0"/>
    <w:rsid w:val="004102A2"/>
    <w:rsid w:val="00416EFF"/>
    <w:rsid w:val="004171AA"/>
    <w:rsid w:val="00417310"/>
    <w:rsid w:val="004328BA"/>
    <w:rsid w:val="00432923"/>
    <w:rsid w:val="00433E58"/>
    <w:rsid w:val="00436F1A"/>
    <w:rsid w:val="0044218F"/>
    <w:rsid w:val="004472A3"/>
    <w:rsid w:val="00453F31"/>
    <w:rsid w:val="00455F79"/>
    <w:rsid w:val="00460685"/>
    <w:rsid w:val="00461E87"/>
    <w:rsid w:val="00472506"/>
    <w:rsid w:val="00472C52"/>
    <w:rsid w:val="00474743"/>
    <w:rsid w:val="0047513C"/>
    <w:rsid w:val="00475C3D"/>
    <w:rsid w:val="004815F3"/>
    <w:rsid w:val="0048526F"/>
    <w:rsid w:val="00490600"/>
    <w:rsid w:val="004A0C32"/>
    <w:rsid w:val="004A1C6C"/>
    <w:rsid w:val="004B79E8"/>
    <w:rsid w:val="004C1DF5"/>
    <w:rsid w:val="004C3FEF"/>
    <w:rsid w:val="004F19ED"/>
    <w:rsid w:val="004F792A"/>
    <w:rsid w:val="00501E6D"/>
    <w:rsid w:val="00502298"/>
    <w:rsid w:val="00505232"/>
    <w:rsid w:val="005074FB"/>
    <w:rsid w:val="005138A1"/>
    <w:rsid w:val="00525860"/>
    <w:rsid w:val="0053599A"/>
    <w:rsid w:val="00537EE9"/>
    <w:rsid w:val="00554108"/>
    <w:rsid w:val="005620C9"/>
    <w:rsid w:val="005646CF"/>
    <w:rsid w:val="00575097"/>
    <w:rsid w:val="005854BC"/>
    <w:rsid w:val="00586EBC"/>
    <w:rsid w:val="005B00F0"/>
    <w:rsid w:val="005B1293"/>
    <w:rsid w:val="005D79DD"/>
    <w:rsid w:val="005F58EA"/>
    <w:rsid w:val="00601B8F"/>
    <w:rsid w:val="00602972"/>
    <w:rsid w:val="006110C6"/>
    <w:rsid w:val="00640BD3"/>
    <w:rsid w:val="00650B35"/>
    <w:rsid w:val="006524D6"/>
    <w:rsid w:val="0065570C"/>
    <w:rsid w:val="006607FD"/>
    <w:rsid w:val="00665086"/>
    <w:rsid w:val="00671FEA"/>
    <w:rsid w:val="006720BC"/>
    <w:rsid w:val="00675F37"/>
    <w:rsid w:val="00685DB8"/>
    <w:rsid w:val="006874EB"/>
    <w:rsid w:val="00691B35"/>
    <w:rsid w:val="00695CC3"/>
    <w:rsid w:val="006963E0"/>
    <w:rsid w:val="006A5382"/>
    <w:rsid w:val="006B5AF9"/>
    <w:rsid w:val="006C4782"/>
    <w:rsid w:val="006C6257"/>
    <w:rsid w:val="006C775B"/>
    <w:rsid w:val="006E6962"/>
    <w:rsid w:val="006F069A"/>
    <w:rsid w:val="00724DDB"/>
    <w:rsid w:val="0072790B"/>
    <w:rsid w:val="00731ADB"/>
    <w:rsid w:val="00742C98"/>
    <w:rsid w:val="00773D41"/>
    <w:rsid w:val="007765B7"/>
    <w:rsid w:val="00796734"/>
    <w:rsid w:val="007B0CA2"/>
    <w:rsid w:val="007C66C1"/>
    <w:rsid w:val="007E0DFE"/>
    <w:rsid w:val="007E6909"/>
    <w:rsid w:val="007F140B"/>
    <w:rsid w:val="007F26EB"/>
    <w:rsid w:val="0080194D"/>
    <w:rsid w:val="008417BC"/>
    <w:rsid w:val="00844804"/>
    <w:rsid w:val="008471F5"/>
    <w:rsid w:val="008500A3"/>
    <w:rsid w:val="008531D4"/>
    <w:rsid w:val="00867D74"/>
    <w:rsid w:val="008862F7"/>
    <w:rsid w:val="008901DD"/>
    <w:rsid w:val="008904CC"/>
    <w:rsid w:val="008A08AC"/>
    <w:rsid w:val="008A2501"/>
    <w:rsid w:val="008A5F53"/>
    <w:rsid w:val="008B5068"/>
    <w:rsid w:val="008C0B5E"/>
    <w:rsid w:val="008C39CA"/>
    <w:rsid w:val="008C3A41"/>
    <w:rsid w:val="008D0BDC"/>
    <w:rsid w:val="00900A37"/>
    <w:rsid w:val="009038CF"/>
    <w:rsid w:val="00915624"/>
    <w:rsid w:val="009330D1"/>
    <w:rsid w:val="009368B2"/>
    <w:rsid w:val="009411B5"/>
    <w:rsid w:val="00943F67"/>
    <w:rsid w:val="00952334"/>
    <w:rsid w:val="0095537D"/>
    <w:rsid w:val="00960696"/>
    <w:rsid w:val="00961F48"/>
    <w:rsid w:val="00964656"/>
    <w:rsid w:val="00964C96"/>
    <w:rsid w:val="00983FAC"/>
    <w:rsid w:val="009A0412"/>
    <w:rsid w:val="009B3920"/>
    <w:rsid w:val="009D0157"/>
    <w:rsid w:val="009D242E"/>
    <w:rsid w:val="009D713C"/>
    <w:rsid w:val="009F65FE"/>
    <w:rsid w:val="00A11D1C"/>
    <w:rsid w:val="00A32693"/>
    <w:rsid w:val="00A46452"/>
    <w:rsid w:val="00A67266"/>
    <w:rsid w:val="00A854B6"/>
    <w:rsid w:val="00A86417"/>
    <w:rsid w:val="00A97FC5"/>
    <w:rsid w:val="00AA17B7"/>
    <w:rsid w:val="00AB1529"/>
    <w:rsid w:val="00AC344D"/>
    <w:rsid w:val="00AD2CC9"/>
    <w:rsid w:val="00AD572E"/>
    <w:rsid w:val="00AE0B19"/>
    <w:rsid w:val="00AE1E64"/>
    <w:rsid w:val="00B16969"/>
    <w:rsid w:val="00B33AA1"/>
    <w:rsid w:val="00B3461B"/>
    <w:rsid w:val="00B40D68"/>
    <w:rsid w:val="00B43872"/>
    <w:rsid w:val="00B617AC"/>
    <w:rsid w:val="00B6527C"/>
    <w:rsid w:val="00B70790"/>
    <w:rsid w:val="00B82E97"/>
    <w:rsid w:val="00B858F9"/>
    <w:rsid w:val="00B86A30"/>
    <w:rsid w:val="00B87E66"/>
    <w:rsid w:val="00B9722A"/>
    <w:rsid w:val="00BB6E6D"/>
    <w:rsid w:val="00BC4EC7"/>
    <w:rsid w:val="00BE3F6E"/>
    <w:rsid w:val="00BE6DCA"/>
    <w:rsid w:val="00BF07BA"/>
    <w:rsid w:val="00BF4E8F"/>
    <w:rsid w:val="00C02159"/>
    <w:rsid w:val="00C03EEF"/>
    <w:rsid w:val="00C27D0D"/>
    <w:rsid w:val="00C32D06"/>
    <w:rsid w:val="00C4066E"/>
    <w:rsid w:val="00C5333A"/>
    <w:rsid w:val="00C5641E"/>
    <w:rsid w:val="00C652EF"/>
    <w:rsid w:val="00C749DD"/>
    <w:rsid w:val="00C91C16"/>
    <w:rsid w:val="00CB30E9"/>
    <w:rsid w:val="00CB45C3"/>
    <w:rsid w:val="00CC2736"/>
    <w:rsid w:val="00CE7529"/>
    <w:rsid w:val="00CF59F5"/>
    <w:rsid w:val="00D00A2E"/>
    <w:rsid w:val="00D22E1A"/>
    <w:rsid w:val="00D470E1"/>
    <w:rsid w:val="00D55035"/>
    <w:rsid w:val="00D6367F"/>
    <w:rsid w:val="00D9312D"/>
    <w:rsid w:val="00DA1358"/>
    <w:rsid w:val="00DC0E56"/>
    <w:rsid w:val="00DC7C37"/>
    <w:rsid w:val="00DE0F3F"/>
    <w:rsid w:val="00DE0FE0"/>
    <w:rsid w:val="00DE4527"/>
    <w:rsid w:val="00DE7BD3"/>
    <w:rsid w:val="00E01E97"/>
    <w:rsid w:val="00E061EE"/>
    <w:rsid w:val="00E16814"/>
    <w:rsid w:val="00E36E9B"/>
    <w:rsid w:val="00E42D2D"/>
    <w:rsid w:val="00E44E82"/>
    <w:rsid w:val="00E873B3"/>
    <w:rsid w:val="00E92CA4"/>
    <w:rsid w:val="00EA3142"/>
    <w:rsid w:val="00ED21D6"/>
    <w:rsid w:val="00EE3677"/>
    <w:rsid w:val="00EE7348"/>
    <w:rsid w:val="00EE7F46"/>
    <w:rsid w:val="00F01A8C"/>
    <w:rsid w:val="00F23D7F"/>
    <w:rsid w:val="00F304AD"/>
    <w:rsid w:val="00F52419"/>
    <w:rsid w:val="00F5472A"/>
    <w:rsid w:val="00F92A4E"/>
    <w:rsid w:val="00FA66B0"/>
    <w:rsid w:val="00FB6827"/>
    <w:rsid w:val="00FC2558"/>
    <w:rsid w:val="00FD0979"/>
    <w:rsid w:val="00FD1A3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BD06087B-0169-43AE-9292-C5968EA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A3674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226AB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BDE2-2D06-4278-A637-36F6C833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Emil Bach</cp:lastModifiedBy>
  <cp:revision>2</cp:revision>
  <cp:lastPrinted>2022-08-05T09:52:00Z</cp:lastPrinted>
  <dcterms:created xsi:type="dcterms:W3CDTF">2023-09-07T08:32:00Z</dcterms:created>
  <dcterms:modified xsi:type="dcterms:W3CDTF">2023-09-07T08:32:00Z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