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38" w:rsidRPr="003520F9" w:rsidRDefault="00A36638" w:rsidP="00A36638">
      <w:pPr>
        <w:spacing w:after="0" w:line="240" w:lineRule="auto"/>
        <w:rPr>
          <w:rFonts w:ascii="Cambria" w:eastAsia="Calibri" w:hAnsi="Cambria" w:cs="Calibri"/>
          <w:b/>
          <w:bCs/>
          <w14:ligatures w14:val="standardContextual"/>
        </w:rPr>
      </w:pPr>
    </w:p>
    <w:p w:rsidR="00A36638" w:rsidRDefault="00BA57C3" w:rsidP="00BA57C3">
      <w:pPr>
        <w:spacing w:after="0" w:line="240" w:lineRule="auto"/>
        <w:ind w:left="6372"/>
        <w:rPr>
          <w:rFonts w:ascii="Cambria" w:eastAsia="Calibri" w:hAnsi="Cambria" w:cs="Calibri"/>
          <w:b/>
          <w:bCs/>
          <w14:ligatures w14:val="standardContextual"/>
        </w:rPr>
      </w:pPr>
      <w:bookmarkStart w:id="0" w:name="_GoBack"/>
      <w:bookmarkEnd w:id="0"/>
      <w:r>
        <w:rPr>
          <w:rFonts w:ascii="Cambria" w:eastAsia="Calibri" w:hAnsi="Cambria" w:cs="Calibri"/>
          <w:b/>
          <w:bCs/>
          <w14:ligatures w14:val="standardContextual"/>
        </w:rPr>
        <w:t xml:space="preserve">Milicz,23.02.2024 r. </w:t>
      </w:r>
    </w:p>
    <w:p w:rsidR="00BA57C3" w:rsidRDefault="00BA57C3" w:rsidP="00A36638">
      <w:pPr>
        <w:spacing w:after="0" w:line="240" w:lineRule="auto"/>
        <w:rPr>
          <w:rFonts w:ascii="Cambria" w:eastAsia="Calibri" w:hAnsi="Cambria" w:cs="Calibri"/>
          <w:b/>
          <w:bCs/>
          <w14:ligatures w14:val="standardContextual"/>
        </w:rPr>
      </w:pPr>
    </w:p>
    <w:p w:rsidR="00BA57C3" w:rsidRDefault="00BA57C3" w:rsidP="00A36638">
      <w:pPr>
        <w:spacing w:after="0" w:line="240" w:lineRule="auto"/>
        <w:rPr>
          <w:rFonts w:ascii="Cambria" w:eastAsia="Calibri" w:hAnsi="Cambria" w:cs="Calibri"/>
          <w:b/>
          <w:bCs/>
          <w14:ligatures w14:val="standardContextual"/>
        </w:rPr>
      </w:pPr>
    </w:p>
    <w:p w:rsidR="00BA57C3" w:rsidRDefault="00BA57C3" w:rsidP="00A36638">
      <w:pPr>
        <w:spacing w:after="0" w:line="240" w:lineRule="auto"/>
        <w:rPr>
          <w:rFonts w:ascii="Cambria" w:eastAsia="Calibri" w:hAnsi="Cambria" w:cs="Calibri"/>
          <w:b/>
          <w:bCs/>
          <w14:ligatures w14:val="standardContextual"/>
        </w:rPr>
      </w:pPr>
    </w:p>
    <w:p w:rsidR="00BA57C3" w:rsidRDefault="00BA57C3" w:rsidP="00A36638">
      <w:pPr>
        <w:spacing w:after="0" w:line="240" w:lineRule="auto"/>
        <w:rPr>
          <w:rFonts w:ascii="Cambria" w:eastAsia="Calibri" w:hAnsi="Cambria" w:cs="Calibri"/>
          <w:b/>
          <w:bCs/>
          <w14:ligatures w14:val="standardContextual"/>
        </w:rPr>
      </w:pPr>
    </w:p>
    <w:p w:rsidR="00BA57C3" w:rsidRDefault="00BA57C3" w:rsidP="00A36638">
      <w:pPr>
        <w:spacing w:after="0" w:line="240" w:lineRule="auto"/>
        <w:rPr>
          <w:rFonts w:ascii="Cambria" w:eastAsia="Calibri" w:hAnsi="Cambria" w:cs="Calibri"/>
          <w:b/>
          <w:bCs/>
          <w14:ligatures w14:val="standardContextual"/>
        </w:rPr>
      </w:pPr>
    </w:p>
    <w:p w:rsidR="00BA57C3" w:rsidRDefault="00BA57C3" w:rsidP="00A36638">
      <w:pPr>
        <w:spacing w:after="0" w:line="240" w:lineRule="auto"/>
        <w:rPr>
          <w:rFonts w:ascii="Cambria" w:eastAsia="Calibri" w:hAnsi="Cambria" w:cs="Calibri"/>
          <w:b/>
          <w:bCs/>
          <w14:ligatures w14:val="standardContextual"/>
        </w:rPr>
      </w:pPr>
    </w:p>
    <w:p w:rsidR="00BA57C3" w:rsidRPr="003520F9" w:rsidRDefault="00BA57C3" w:rsidP="00A36638">
      <w:pPr>
        <w:spacing w:after="0" w:line="240" w:lineRule="auto"/>
        <w:rPr>
          <w:rFonts w:ascii="Cambria" w:eastAsia="Calibri" w:hAnsi="Cambria" w:cs="Calibri"/>
          <w:b/>
          <w:bCs/>
          <w14:ligatures w14:val="standardContextual"/>
        </w:rPr>
      </w:pPr>
    </w:p>
    <w:p w:rsidR="00BA57C3" w:rsidRPr="00BA57C3" w:rsidRDefault="00BA57C3" w:rsidP="00BA57C3">
      <w:pPr>
        <w:spacing w:after="0" w:line="276" w:lineRule="auto"/>
        <w:ind w:left="708"/>
        <w:jc w:val="center"/>
        <w:rPr>
          <w:rFonts w:ascii="Cambria" w:eastAsia="Times New Roman" w:hAnsi="Cambria" w:cs="Times New Roman"/>
          <w:bCs/>
          <w:i/>
          <w:iCs/>
          <w:sz w:val="24"/>
          <w:szCs w:val="24"/>
          <w:lang w:eastAsia="pl-PL"/>
        </w:rPr>
      </w:pPr>
      <w:r w:rsidRPr="00BA57C3">
        <w:rPr>
          <w:rFonts w:ascii="Cambria" w:eastAsia="Times New Roman" w:hAnsi="Cambria" w:cs="Times New Roman"/>
          <w:b/>
          <w:sz w:val="24"/>
          <w:szCs w:val="24"/>
          <w:lang w:eastAsia="pl-PL"/>
        </w:rPr>
        <w:t>Wykonywanie okresowych przeglądów technicznych aparatury i sprzętu medycznego Milickiego Centrum Medycznego Sp. z o.o.</w:t>
      </w:r>
    </w:p>
    <w:p w:rsidR="00BA57C3" w:rsidRDefault="00BA57C3" w:rsidP="00BA57C3">
      <w:pPr>
        <w:rPr>
          <w:rFonts w:ascii="Cambria" w:eastAsia="Times New Roman" w:hAnsi="Cambria" w:cs="Times New Roman"/>
          <w:snapToGrid w:val="0"/>
          <w:sz w:val="24"/>
          <w:szCs w:val="24"/>
          <w:lang w:eastAsia="pl-PL"/>
        </w:rPr>
      </w:pPr>
    </w:p>
    <w:p w:rsidR="00A36638" w:rsidRPr="00BA57C3" w:rsidRDefault="00BA57C3" w:rsidP="00BA57C3">
      <w:pPr>
        <w:rPr>
          <w:rFonts w:ascii="Cambria" w:eastAsia="Aptos" w:hAnsi="Cambria" w:cs="Times New Roman"/>
          <w:kern w:val="2"/>
          <w:sz w:val="24"/>
          <w:szCs w:val="24"/>
        </w:rPr>
      </w:pPr>
      <w:r w:rsidRPr="00BA57C3">
        <w:rPr>
          <w:rFonts w:ascii="Cambria" w:eastAsia="Times New Roman" w:hAnsi="Cambria" w:cs="Times New Roman"/>
          <w:snapToGrid w:val="0"/>
          <w:sz w:val="24"/>
          <w:szCs w:val="24"/>
          <w:lang w:eastAsia="pl-PL"/>
        </w:rPr>
        <w:t>Zamawiający odpowiada  na zadane pytania:</w:t>
      </w:r>
    </w:p>
    <w:p w:rsidR="00A36638" w:rsidRPr="003520F9" w:rsidRDefault="00BA57C3" w:rsidP="00A36638">
      <w:pPr>
        <w:spacing w:after="0" w:line="240" w:lineRule="auto"/>
        <w:rPr>
          <w:rFonts w:ascii="Cambria" w:eastAsia="Calibri" w:hAnsi="Cambria" w:cs="Calibri"/>
          <w:b/>
          <w:bCs/>
          <w14:ligatures w14:val="standardContextual"/>
        </w:rPr>
      </w:pPr>
      <w:r>
        <w:rPr>
          <w:rFonts w:ascii="Cambria" w:eastAsia="Calibri" w:hAnsi="Cambria" w:cs="Calibri"/>
          <w:b/>
          <w:bCs/>
          <w14:ligatures w14:val="standardContextual"/>
        </w:rPr>
        <w:t xml:space="preserve">Pytanie  nr 1 </w:t>
      </w:r>
    </w:p>
    <w:p w:rsidR="00BA57C3" w:rsidRDefault="00BA57C3" w:rsidP="00A36638">
      <w:pPr>
        <w:spacing w:after="0" w:line="240" w:lineRule="auto"/>
        <w:rPr>
          <w:rFonts w:ascii="Cambria" w:eastAsia="Calibri" w:hAnsi="Cambria" w:cs="Calibri"/>
          <w:b/>
          <w:bCs/>
          <w14:ligatures w14:val="standardContextual"/>
        </w:rPr>
      </w:pPr>
    </w:p>
    <w:p w:rsidR="00A36638" w:rsidRPr="00A36638" w:rsidRDefault="00A36638" w:rsidP="00A36638">
      <w:pPr>
        <w:spacing w:after="0" w:line="240" w:lineRule="auto"/>
        <w:rPr>
          <w:rFonts w:ascii="Cambria" w:eastAsia="Calibri" w:hAnsi="Cambria" w:cs="Times New Roman"/>
          <w:b/>
          <w:bCs/>
          <w14:ligatures w14:val="standardContextual"/>
        </w:rPr>
      </w:pPr>
      <w:r w:rsidRPr="00A36638">
        <w:rPr>
          <w:rFonts w:ascii="Cambria" w:eastAsia="Calibri" w:hAnsi="Cambria" w:cs="Calibri"/>
          <w:b/>
          <w:bCs/>
          <w14:ligatures w14:val="standardContextual"/>
        </w:rPr>
        <w:t>Par. 2 ust. 13</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Prosimy o wyjaśnienie co zdaniem Zamawiającego oznacza i co obejmuje „gwarancja na wykonane prace”?</w:t>
      </w:r>
    </w:p>
    <w:p w:rsidR="00A36638" w:rsidRPr="003520F9"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Zwracamy uwagę, iż zgodnie z przepisami kodeksu cywilnego udzielając gwarancji jakości gwarant (wykonawca) udziela gwarancji, że TOWAR jest zgodny z umową. Zatem gwarancji jakości można udzielić wyłącznie na towary/rzeczy czyli w przypadku umów serwisowych sprzętu medycznego na części zamienne. Natomiast, zgodnie z przepisami kodeksu cywilnego w przypadku wadliwego wykonania usługi, wykonawca z mocy samej ustawy jest zobowiązany do ponownego jej wykonania na warunkach wskazanych w umowie. Dlatego w naszej ocenie w § 2 ust. 13 wzoru umowy powinna zostać wykreślona gwarancja na wykonane prace i pozostawiona powinna być gwarancja na wymienione części.</w:t>
      </w:r>
    </w:p>
    <w:p w:rsidR="00C243B6" w:rsidRPr="003520F9" w:rsidRDefault="00C243B6" w:rsidP="00A36638">
      <w:pPr>
        <w:spacing w:after="0" w:line="240" w:lineRule="auto"/>
        <w:jc w:val="both"/>
        <w:rPr>
          <w:rFonts w:ascii="Cambria" w:eastAsia="Calibri" w:hAnsi="Cambria" w:cs="Calibri"/>
          <w14:ligatures w14:val="standardContextual"/>
        </w:rPr>
      </w:pPr>
    </w:p>
    <w:p w:rsidR="00C243B6" w:rsidRPr="00A36638" w:rsidRDefault="00C243B6" w:rsidP="00A36638">
      <w:pPr>
        <w:spacing w:after="0" w:line="240" w:lineRule="auto"/>
        <w:jc w:val="both"/>
        <w:rPr>
          <w:rFonts w:ascii="Cambria" w:eastAsia="Calibri" w:hAnsi="Cambria" w:cs="Calibri"/>
          <w:color w:val="FF0000"/>
          <w14:ligatures w14:val="standardContextual"/>
        </w:rPr>
      </w:pPr>
      <w:r w:rsidRPr="003520F9">
        <w:rPr>
          <w:rFonts w:ascii="Cambria" w:eastAsia="Calibri" w:hAnsi="Cambria" w:cs="Calibri"/>
          <w:color w:val="FF0000"/>
          <w14:ligatures w14:val="standardContextual"/>
        </w:rPr>
        <w:t>Odpowiedź: Gwarancją   mają  być   objęte  wykonywane czynności związane z   montażem   czy zamianom część  elementów  zużywalnych aparatury.  Czynność, które należy wykonać i   prawidłowość   ich wykonania ma znaczenie, gdyż  nieprawidłowe, niefachowe  zamontowanie, wymiana     pomimo, że część jest niewadliwa może spowodować</w:t>
      </w:r>
      <w:r w:rsidR="003520F9" w:rsidRPr="003520F9">
        <w:rPr>
          <w:rFonts w:ascii="Cambria" w:eastAsia="Calibri" w:hAnsi="Cambria" w:cs="Calibri"/>
          <w:color w:val="FF0000"/>
          <w14:ligatures w14:val="standardContextual"/>
        </w:rPr>
        <w:t>.</w:t>
      </w:r>
      <w:r w:rsidRPr="003520F9">
        <w:rPr>
          <w:rFonts w:ascii="Cambria" w:eastAsia="Calibri" w:hAnsi="Cambria" w:cs="Calibri"/>
          <w:color w:val="FF0000"/>
          <w14:ligatures w14:val="standardContextual"/>
        </w:rPr>
        <w:t xml:space="preserve">  </w:t>
      </w:r>
    </w:p>
    <w:p w:rsidR="00A36638" w:rsidRPr="00A36638" w:rsidRDefault="00A36638" w:rsidP="00A36638">
      <w:pPr>
        <w:spacing w:after="0" w:line="240" w:lineRule="auto"/>
        <w:jc w:val="both"/>
        <w:rPr>
          <w:rFonts w:ascii="Cambria" w:eastAsia="Calibri" w:hAnsi="Cambria" w:cs="Calibri"/>
          <w:b/>
          <w:bCs/>
          <w14:ligatures w14:val="standardContextual"/>
        </w:rPr>
      </w:pPr>
    </w:p>
    <w:p w:rsidR="00BA57C3" w:rsidRDefault="00BA57C3" w:rsidP="00A36638">
      <w:pPr>
        <w:spacing w:after="0" w:line="240" w:lineRule="auto"/>
        <w:jc w:val="both"/>
        <w:rPr>
          <w:rFonts w:ascii="Cambria" w:eastAsia="Calibri" w:hAnsi="Cambria" w:cs="Calibri"/>
          <w:b/>
          <w:bCs/>
          <w14:ligatures w14:val="standardContextual"/>
        </w:rPr>
      </w:pPr>
      <w:r>
        <w:rPr>
          <w:rFonts w:ascii="Cambria" w:eastAsia="Calibri" w:hAnsi="Cambria" w:cs="Calibri"/>
          <w:b/>
          <w:bCs/>
          <w14:ligatures w14:val="standardContextual"/>
        </w:rPr>
        <w:t>Pytanie  nr</w:t>
      </w:r>
      <w:r>
        <w:rPr>
          <w:rFonts w:ascii="Cambria" w:eastAsia="Calibri" w:hAnsi="Cambria" w:cs="Calibri"/>
          <w:b/>
          <w:bCs/>
          <w14:ligatures w14:val="standardContextual"/>
        </w:rPr>
        <w:t xml:space="preserve"> 2 </w:t>
      </w:r>
    </w:p>
    <w:p w:rsidR="00A36638" w:rsidRPr="00A36638" w:rsidRDefault="00A36638" w:rsidP="00A36638">
      <w:pPr>
        <w:spacing w:after="0" w:line="240" w:lineRule="auto"/>
        <w:jc w:val="both"/>
        <w:rPr>
          <w:rFonts w:ascii="Cambria" w:eastAsia="Calibri" w:hAnsi="Cambria" w:cs="Calibri"/>
          <w:b/>
          <w:bCs/>
          <w14:ligatures w14:val="standardContextual"/>
        </w:rPr>
      </w:pPr>
      <w:r w:rsidRPr="00A36638">
        <w:rPr>
          <w:rFonts w:ascii="Cambria" w:eastAsia="Calibri" w:hAnsi="Cambria" w:cs="Calibri"/>
          <w:b/>
          <w:bCs/>
          <w14:ligatures w14:val="standardContextual"/>
        </w:rPr>
        <w:t>Par. 2</w:t>
      </w:r>
    </w:p>
    <w:p w:rsidR="00A36638" w:rsidRPr="00A36638" w:rsidRDefault="00A36638" w:rsidP="00A36638">
      <w:pPr>
        <w:spacing w:after="0" w:line="240" w:lineRule="auto"/>
        <w:jc w:val="both"/>
        <w:rPr>
          <w:rFonts w:ascii="Cambria" w:eastAsia="Calibri" w:hAnsi="Cambria" w:cs="Calibri"/>
          <w14:ligatures w14:val="standardContextual"/>
        </w:rPr>
      </w:pPr>
      <w:bookmarkStart w:id="1" w:name="OLE_LINK19"/>
      <w:bookmarkStart w:id="2" w:name="OLE_LINK29"/>
      <w:r w:rsidRPr="00A36638">
        <w:rPr>
          <w:rFonts w:ascii="Cambria" w:eastAsia="Calibri" w:hAnsi="Cambria" w:cs="Calibri"/>
          <w14:ligatures w14:val="standardContextual"/>
        </w:rPr>
        <w:t xml:space="preserve">Gwarancja jakości dotyczy odpowiedzialności gwaranta za pewnego rodzaju niezgodność towaru z umową, wadliwość towaru. Brzmienie postanowienia jest nieprecyzyjne i nie uwzględnia sytuacji, w których powstała awaria/usterka spowodowana została np. okolicznościami siły wyższej, normalnego zużycia, ingerencją w sprzęt osób trzecich. Powoduje to niemożność lub istotne utrudnienie wyliczenia kosztu usługi (może prowadzić do zawyżenia kosztu usługi wskutek konieczności objęcia dużego zakresu ryzyka) i ryzyka po stronie Wykonawcy. </w:t>
      </w:r>
      <w:bookmarkEnd w:id="1"/>
      <w:r w:rsidRPr="00A36638">
        <w:rPr>
          <w:rFonts w:ascii="Cambria" w:eastAsia="Calibri" w:hAnsi="Cambria" w:cs="Calibri"/>
          <w14:ligatures w14:val="standardContextual"/>
        </w:rPr>
        <w:t xml:space="preserve">Czy w związku z tym Zamawiający wyraża zgodę na dodanie postanowienia § 2 ust. 15 wzoru umowy, precyzującego w/w okoliczności, które odzwierciedla przyjęte rynkowo standardy wyłączające/ograniczające ryzyko Wykonawcy, a także naturę gwarancji: </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 xml:space="preserve">„Gwarancja określona niniejszą umową nie obejmuje awarii/usterek wynikających z: </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 xml:space="preserve">a. niewłaściwego użytkowania urządzenia, w tym niezgodnie z jego przeznaczeniem lub instrukcją użytkowania; </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 xml:space="preserve">b. mechanicznego uszkodzenia urządzenia, powstałego z przyczyn leżących po stronie Zamawiającego lub osób trzecich i wywołane nimi wady; </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lastRenderedPageBreak/>
        <w:t xml:space="preserve">c. samowolnych napraw, przeróbek lub zmian konstrukcyjnych (dokonywanych przez Zamawiającego lub inne nieuprawnione osoby); </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 xml:space="preserve">d. jakiejkolwiek ingerencji osób trzecich; </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e. uszkodzenia spowodowane zdarzeniami noszącymi znamiona siły wyższej (pożar, powódź, zalanie)</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f. normalnego zużycia wymienionych części;</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g. awarii systemu spowodowanego przez wadliwe działanie podzespołów aparatu, które nie były dostarczone przez Wykonawcę.”.</w:t>
      </w:r>
    </w:p>
    <w:bookmarkEnd w:id="2"/>
    <w:p w:rsidR="005628BA" w:rsidRPr="00A36638" w:rsidRDefault="005628BA" w:rsidP="005628BA">
      <w:pPr>
        <w:spacing w:after="0" w:line="240" w:lineRule="auto"/>
        <w:jc w:val="both"/>
        <w:rPr>
          <w:rFonts w:ascii="Cambria" w:eastAsia="Calibri" w:hAnsi="Cambria" w:cs="Calibri"/>
          <w14:ligatures w14:val="standardContextual"/>
        </w:rPr>
      </w:pPr>
      <w:r w:rsidRPr="003520F9">
        <w:rPr>
          <w:rFonts w:ascii="Cambria" w:eastAsia="Calibri" w:hAnsi="Cambria" w:cs="Calibri"/>
          <w:color w:val="FF0000"/>
          <w14:ligatures w14:val="standardContextual"/>
        </w:rPr>
        <w:t>Odpowiedź:</w:t>
      </w:r>
      <w:r>
        <w:rPr>
          <w:rFonts w:ascii="Cambria" w:eastAsia="Calibri" w:hAnsi="Cambria" w:cs="Calibri"/>
          <w:color w:val="FF0000"/>
          <w14:ligatures w14:val="standardContextual"/>
        </w:rPr>
        <w:t xml:space="preserve"> Zamawiający  wyraża  zgodę.</w:t>
      </w:r>
    </w:p>
    <w:p w:rsidR="00A36638" w:rsidRPr="003520F9" w:rsidRDefault="00A36638" w:rsidP="00A36638">
      <w:pPr>
        <w:spacing w:after="0" w:line="240" w:lineRule="auto"/>
        <w:jc w:val="both"/>
        <w:rPr>
          <w:rFonts w:ascii="Cambria" w:eastAsia="Calibri" w:hAnsi="Cambria" w:cs="Calibri"/>
          <w14:ligatures w14:val="standardContextual"/>
        </w:rPr>
      </w:pPr>
    </w:p>
    <w:p w:rsidR="00BA57C3" w:rsidRDefault="00BA57C3" w:rsidP="00A36638">
      <w:pPr>
        <w:spacing w:after="0" w:line="240" w:lineRule="auto"/>
        <w:jc w:val="both"/>
        <w:rPr>
          <w:rFonts w:ascii="Cambria" w:eastAsia="Calibri" w:hAnsi="Cambria" w:cs="Calibri"/>
          <w14:ligatures w14:val="standardContextual"/>
        </w:rPr>
      </w:pPr>
    </w:p>
    <w:p w:rsidR="00BA57C3" w:rsidRDefault="00BA57C3" w:rsidP="00A36638">
      <w:pPr>
        <w:spacing w:after="0" w:line="240" w:lineRule="auto"/>
        <w:jc w:val="both"/>
        <w:rPr>
          <w:rFonts w:ascii="Cambria" w:eastAsia="Calibri" w:hAnsi="Cambria" w:cs="Calibri"/>
          <w14:ligatures w14:val="standardContextual"/>
        </w:rPr>
      </w:pPr>
      <w:r>
        <w:rPr>
          <w:rFonts w:ascii="Cambria" w:eastAsia="Calibri" w:hAnsi="Cambria" w:cs="Calibri"/>
          <w:b/>
          <w:bCs/>
          <w14:ligatures w14:val="standardContextual"/>
        </w:rPr>
        <w:t>Pytanie  nr</w:t>
      </w:r>
      <w:r>
        <w:rPr>
          <w:rFonts w:ascii="Cambria" w:eastAsia="Calibri" w:hAnsi="Cambria" w:cs="Calibri"/>
          <w:b/>
          <w:bCs/>
          <w14:ligatures w14:val="standardContextual"/>
        </w:rPr>
        <w:t xml:space="preserve"> 3 </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 xml:space="preserve">par. 3 ust. 3 i 4 </w:t>
      </w:r>
      <w:proofErr w:type="spellStart"/>
      <w:r w:rsidRPr="00A36638">
        <w:rPr>
          <w:rFonts w:ascii="Cambria" w:eastAsia="Calibri" w:hAnsi="Cambria" w:cs="Calibri"/>
          <w14:ligatures w14:val="standardContextual"/>
        </w:rPr>
        <w:t>zd</w:t>
      </w:r>
      <w:proofErr w:type="spellEnd"/>
      <w:r w:rsidRPr="00A36638">
        <w:rPr>
          <w:rFonts w:ascii="Cambria" w:eastAsia="Calibri" w:hAnsi="Cambria" w:cs="Calibri"/>
          <w14:ligatures w14:val="standardContextual"/>
        </w:rPr>
        <w:t>. 2</w:t>
      </w:r>
    </w:p>
    <w:p w:rsidR="00A36638" w:rsidRPr="00A36638" w:rsidRDefault="00A36638" w:rsidP="00A36638">
      <w:pPr>
        <w:spacing w:after="0" w:line="240" w:lineRule="auto"/>
        <w:jc w:val="both"/>
        <w:rPr>
          <w:rFonts w:ascii="Cambria" w:eastAsia="Calibri" w:hAnsi="Cambria" w:cs="Times New Roman"/>
          <w14:ligatures w14:val="standardContextual"/>
        </w:rPr>
      </w:pPr>
      <w:r w:rsidRPr="00A36638">
        <w:rPr>
          <w:rFonts w:ascii="Cambria" w:eastAsia="Calibri" w:hAnsi="Cambria" w:cs="Calibri"/>
          <w14:ligatures w14:val="standardContextual"/>
        </w:rPr>
        <w:t>Wnosimy o uzupełnienie postanowienia w następujący sposób: „W razie stwierdzenia uchybień w jej wykonaniu, uniemożliwiających korzystanie z urządzeń objętych przedmiotem Umowy zgodnie z przeznaczeniem, żąda wykonania przez Wykonawcę określonych poprawek”. Podstawą obowiązku wykonania poprawek powinny być tylko wady istotne, uniemożliwiające korzystanie zgodnie z przeznaczeniem z przedmiotu umowy. Pozostałe wady lub usterki (np. estetyczne) powinny być usuwane przez Wykonawcę w ramach udzielonej gwarancji lub rękojmi ustawowej.</w:t>
      </w:r>
    </w:p>
    <w:p w:rsidR="00BA57C3" w:rsidRPr="00A36638" w:rsidRDefault="00BA57C3" w:rsidP="00BA57C3">
      <w:pPr>
        <w:spacing w:after="0" w:line="240" w:lineRule="auto"/>
        <w:jc w:val="both"/>
        <w:rPr>
          <w:rFonts w:ascii="Cambria" w:eastAsia="Calibri" w:hAnsi="Cambria" w:cs="Calibri"/>
          <w14:ligatures w14:val="standardContextual"/>
        </w:rPr>
      </w:pPr>
      <w:r w:rsidRPr="003520F9">
        <w:rPr>
          <w:rFonts w:ascii="Cambria" w:eastAsia="Calibri" w:hAnsi="Cambria" w:cs="Calibri"/>
          <w:color w:val="FF0000"/>
          <w14:ligatures w14:val="standardContextual"/>
        </w:rPr>
        <w:t>Odpowiedź:</w:t>
      </w:r>
      <w:r>
        <w:rPr>
          <w:rFonts w:ascii="Cambria" w:eastAsia="Calibri" w:hAnsi="Cambria" w:cs="Calibri"/>
          <w:color w:val="FF0000"/>
          <w14:ligatures w14:val="standardContextual"/>
        </w:rPr>
        <w:t xml:space="preserve"> Zamawiający nie  wyraża  zgody</w:t>
      </w:r>
    </w:p>
    <w:p w:rsidR="00A36638" w:rsidRPr="003520F9" w:rsidRDefault="00A36638" w:rsidP="00A36638">
      <w:pPr>
        <w:spacing w:after="0" w:line="240" w:lineRule="auto"/>
        <w:jc w:val="both"/>
        <w:rPr>
          <w:rFonts w:ascii="Cambria" w:eastAsia="Calibri" w:hAnsi="Cambria" w:cs="Calibri"/>
          <w14:ligatures w14:val="standardContextual"/>
        </w:rPr>
      </w:pPr>
    </w:p>
    <w:p w:rsidR="00A36638" w:rsidRPr="003520F9" w:rsidRDefault="00A36638" w:rsidP="00A36638">
      <w:pPr>
        <w:spacing w:after="0" w:line="240" w:lineRule="auto"/>
        <w:jc w:val="both"/>
        <w:rPr>
          <w:rFonts w:ascii="Cambria" w:eastAsia="Calibri" w:hAnsi="Cambria" w:cs="Calibri"/>
          <w14:ligatures w14:val="standardContextual"/>
        </w:rPr>
      </w:pPr>
    </w:p>
    <w:p w:rsidR="00A36638" w:rsidRPr="003520F9" w:rsidRDefault="00BA57C3" w:rsidP="00A36638">
      <w:pPr>
        <w:spacing w:after="0" w:line="240" w:lineRule="auto"/>
        <w:jc w:val="both"/>
        <w:rPr>
          <w:rFonts w:ascii="Cambria" w:eastAsia="Calibri" w:hAnsi="Cambria" w:cs="Calibri"/>
          <w14:ligatures w14:val="standardContextual"/>
        </w:rPr>
      </w:pPr>
      <w:r>
        <w:rPr>
          <w:rFonts w:ascii="Cambria" w:eastAsia="Calibri" w:hAnsi="Cambria" w:cs="Calibri"/>
          <w:b/>
          <w:bCs/>
          <w14:ligatures w14:val="standardContextual"/>
        </w:rPr>
        <w:t>Pytanie  nr</w:t>
      </w:r>
      <w:r>
        <w:rPr>
          <w:rFonts w:ascii="Cambria" w:eastAsia="Calibri" w:hAnsi="Cambria" w:cs="Calibri"/>
          <w:b/>
          <w:bCs/>
          <w14:ligatures w14:val="standardContextual"/>
        </w:rPr>
        <w:t xml:space="preserve"> 4 </w:t>
      </w:r>
    </w:p>
    <w:p w:rsid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Par. 8 ust.1 pkt 1</w:t>
      </w:r>
    </w:p>
    <w:p w:rsidR="003520F9" w:rsidRPr="00A36638" w:rsidRDefault="003520F9" w:rsidP="00A36638">
      <w:pPr>
        <w:spacing w:after="0" w:line="240" w:lineRule="auto"/>
        <w:jc w:val="both"/>
        <w:rPr>
          <w:rFonts w:ascii="Cambria" w:eastAsia="Calibri" w:hAnsi="Cambria" w:cs="Calibri"/>
          <w14:ligatures w14:val="standardContextual"/>
        </w:rPr>
      </w:pP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Kara umowna jako surogat odszkodowania za nieterminową realizację przedmiotu umowy powinna być naliczana wyłącznie w sytuacji, gdy zaistniałe opóźnienie jest następstwem okoliczności, za które Wykonawca ponosi odpowiedzialność. Wykonawca nie powinien odpowiadać zatem za następstwa okoliczności niezależnych od Wykonawcy i przez niego niezawinionych. Wskazujemy, że przepisy Prawa zamówień publicznych wyraźnie co do zasady zakazują wprowadzania w umowach o zamówienie publiczne odpowiedzialności wykonawcy za „opóźnienie”. Mianowicie, art. 433 pkt 1) ustawy Prawo zamówień publicznych wskazuje wprost, że takie postanowienie jest co do zasady niedozwoloną klauzulą abuzywną, co oznacza, że zgodnie z tym przepisem zakazane jest wprowadzanie generalnego rozszerzenia zasad odpowiedzialności Wykonawcy, w tym w szczególności wprowadzanie odpowiedzialności na zasadzie ryzyka. Dlatego też w zakresie niniejszej umowy w naszej ocenie odpowiedzialność Wykonawcy powinna być oparta się na zasadach ogólnych (tj. zasadzie winy), dlatego prosimy o odpowiednią modyfikację postanowienia § 8 ust. 1 lit. 1) we wzorze umowy poprzez zmianę słowa „opóźnienie” na „zwłokę”.</w:t>
      </w:r>
    </w:p>
    <w:p w:rsidR="00A36638" w:rsidRPr="00A36638" w:rsidRDefault="003520F9" w:rsidP="00A36638">
      <w:pPr>
        <w:spacing w:after="0" w:line="240" w:lineRule="auto"/>
        <w:jc w:val="both"/>
        <w:rPr>
          <w:rFonts w:ascii="Cambria" w:eastAsia="Calibri" w:hAnsi="Cambria" w:cs="Calibri"/>
          <w:b/>
          <w:bCs/>
          <w14:ligatures w14:val="standardContextual"/>
        </w:rPr>
      </w:pPr>
      <w:r>
        <w:rPr>
          <w:rFonts w:ascii="Cambria" w:eastAsia="Calibri" w:hAnsi="Cambria" w:cs="Calibri"/>
          <w:color w:val="FF0000"/>
          <w14:ligatures w14:val="standardContextual"/>
        </w:rPr>
        <w:t xml:space="preserve">Odpowiedź: Zamawiający </w:t>
      </w:r>
      <w:r w:rsidR="005628BA">
        <w:rPr>
          <w:rFonts w:ascii="Cambria" w:eastAsia="Calibri" w:hAnsi="Cambria" w:cs="Calibri"/>
          <w:color w:val="FF0000"/>
          <w14:ligatures w14:val="standardContextual"/>
        </w:rPr>
        <w:t xml:space="preserve"> pozostawia  bez  zmian</w:t>
      </w:r>
    </w:p>
    <w:p w:rsidR="003520F9" w:rsidRDefault="003520F9" w:rsidP="00A36638">
      <w:pPr>
        <w:spacing w:after="0" w:line="240" w:lineRule="auto"/>
        <w:jc w:val="both"/>
        <w:rPr>
          <w:rFonts w:ascii="Cambria" w:eastAsia="Calibri" w:hAnsi="Cambria" w:cs="Calibri"/>
          <w:b/>
          <w:bCs/>
          <w14:ligatures w14:val="standardContextual"/>
        </w:rPr>
      </w:pPr>
    </w:p>
    <w:p w:rsidR="00BA57C3" w:rsidRDefault="00BA57C3" w:rsidP="00A36638">
      <w:pPr>
        <w:spacing w:after="0" w:line="240" w:lineRule="auto"/>
        <w:jc w:val="both"/>
        <w:rPr>
          <w:rFonts w:ascii="Cambria" w:eastAsia="Calibri" w:hAnsi="Cambria" w:cs="Calibri"/>
          <w:b/>
          <w:bCs/>
          <w14:ligatures w14:val="standardContextual"/>
        </w:rPr>
      </w:pPr>
      <w:r>
        <w:rPr>
          <w:rFonts w:ascii="Cambria" w:eastAsia="Calibri" w:hAnsi="Cambria" w:cs="Calibri"/>
          <w:b/>
          <w:bCs/>
          <w14:ligatures w14:val="standardContextual"/>
        </w:rPr>
        <w:t>Pytanie  nr</w:t>
      </w:r>
      <w:r>
        <w:rPr>
          <w:rFonts w:ascii="Cambria" w:eastAsia="Calibri" w:hAnsi="Cambria" w:cs="Calibri"/>
          <w:b/>
          <w:bCs/>
          <w14:ligatures w14:val="standardContextual"/>
        </w:rPr>
        <w:t xml:space="preserve"> 5 </w:t>
      </w:r>
    </w:p>
    <w:p w:rsidR="00A36638" w:rsidRPr="00A36638" w:rsidRDefault="00A36638" w:rsidP="00A36638">
      <w:pPr>
        <w:spacing w:after="0" w:line="240" w:lineRule="auto"/>
        <w:jc w:val="both"/>
        <w:rPr>
          <w:rFonts w:ascii="Cambria" w:eastAsia="Calibri" w:hAnsi="Cambria" w:cs="Calibri"/>
          <w:b/>
          <w:bCs/>
          <w14:ligatures w14:val="standardContextual"/>
        </w:rPr>
      </w:pPr>
      <w:r w:rsidRPr="00A36638">
        <w:rPr>
          <w:rFonts w:ascii="Cambria" w:eastAsia="Calibri" w:hAnsi="Cambria" w:cs="Calibri"/>
          <w:b/>
          <w:bCs/>
          <w14:ligatures w14:val="standardContextual"/>
        </w:rPr>
        <w:t>Par. 8 ust. 1 pkt 2</w:t>
      </w:r>
    </w:p>
    <w:p w:rsidR="00A36638" w:rsidRPr="003520F9"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Wnosimy o doprecyzowanie postanowienia w następujący sposób: „w przypadku nienależycie wykonywanych przeglądów, których bezpośrednim następstwem będzie niesprawna aparatura”. Wykonawca powinien odpowiadać wyłącznie za bezpośrednie skutki swoich działań lub zaniechań.</w:t>
      </w:r>
    </w:p>
    <w:p w:rsidR="003520F9" w:rsidRPr="00A36638" w:rsidRDefault="003520F9" w:rsidP="00A36638">
      <w:pPr>
        <w:spacing w:after="0" w:line="240" w:lineRule="auto"/>
        <w:jc w:val="both"/>
        <w:rPr>
          <w:rFonts w:ascii="Cambria" w:eastAsia="Calibri" w:hAnsi="Cambria" w:cs="Calibri"/>
          <w14:ligatures w14:val="standardContextual"/>
        </w:rPr>
      </w:pPr>
      <w:r w:rsidRPr="003520F9">
        <w:rPr>
          <w:rFonts w:ascii="Cambria" w:eastAsia="Calibri" w:hAnsi="Cambria" w:cs="Calibri"/>
          <w:color w:val="FF0000"/>
          <w14:ligatures w14:val="standardContextual"/>
        </w:rPr>
        <w:t>Odpowiedź:</w:t>
      </w:r>
      <w:r>
        <w:rPr>
          <w:rFonts w:ascii="Cambria" w:eastAsia="Calibri" w:hAnsi="Cambria" w:cs="Calibri"/>
          <w:color w:val="FF0000"/>
          <w14:ligatures w14:val="standardContextual"/>
        </w:rPr>
        <w:t xml:space="preserve"> Zamawiający nie  wyraża  zgody</w:t>
      </w:r>
    </w:p>
    <w:p w:rsidR="00A36638" w:rsidRPr="00A36638" w:rsidRDefault="00A36638" w:rsidP="00A36638">
      <w:pPr>
        <w:spacing w:after="0" w:line="240" w:lineRule="auto"/>
        <w:jc w:val="both"/>
        <w:rPr>
          <w:rFonts w:ascii="Cambria" w:eastAsia="Calibri" w:hAnsi="Cambria" w:cs="Calibri"/>
          <w:b/>
          <w:bCs/>
          <w14:ligatures w14:val="standardContextual"/>
        </w:rPr>
      </w:pPr>
    </w:p>
    <w:p w:rsidR="00BA57C3" w:rsidRDefault="00BA57C3" w:rsidP="00A36638">
      <w:pPr>
        <w:spacing w:after="0" w:line="240" w:lineRule="auto"/>
        <w:jc w:val="both"/>
        <w:rPr>
          <w:rFonts w:ascii="Cambria" w:eastAsia="Calibri" w:hAnsi="Cambria" w:cs="Calibri"/>
          <w:b/>
          <w:bCs/>
          <w14:ligatures w14:val="standardContextual"/>
        </w:rPr>
      </w:pPr>
    </w:p>
    <w:p w:rsidR="00BA57C3" w:rsidRDefault="00BA57C3" w:rsidP="00A36638">
      <w:pPr>
        <w:spacing w:after="0" w:line="240" w:lineRule="auto"/>
        <w:jc w:val="both"/>
        <w:rPr>
          <w:rFonts w:ascii="Cambria" w:eastAsia="Calibri" w:hAnsi="Cambria" w:cs="Calibri"/>
          <w:b/>
          <w:bCs/>
          <w14:ligatures w14:val="standardContextual"/>
        </w:rPr>
      </w:pPr>
    </w:p>
    <w:p w:rsidR="00BA57C3" w:rsidRDefault="00BA57C3" w:rsidP="00A36638">
      <w:pPr>
        <w:spacing w:after="0" w:line="240" w:lineRule="auto"/>
        <w:jc w:val="both"/>
        <w:rPr>
          <w:rFonts w:ascii="Cambria" w:eastAsia="Calibri" w:hAnsi="Cambria" w:cs="Calibri"/>
          <w:b/>
          <w:bCs/>
          <w14:ligatures w14:val="standardContextual"/>
        </w:rPr>
      </w:pPr>
      <w:r>
        <w:rPr>
          <w:rFonts w:ascii="Cambria" w:eastAsia="Calibri" w:hAnsi="Cambria" w:cs="Calibri"/>
          <w:b/>
          <w:bCs/>
          <w14:ligatures w14:val="standardContextual"/>
        </w:rPr>
        <w:t>Pytanie  nr</w:t>
      </w:r>
      <w:r>
        <w:rPr>
          <w:rFonts w:ascii="Cambria" w:eastAsia="Calibri" w:hAnsi="Cambria" w:cs="Calibri"/>
          <w:b/>
          <w:bCs/>
          <w14:ligatures w14:val="standardContextual"/>
        </w:rPr>
        <w:t xml:space="preserve"> 6 </w:t>
      </w:r>
    </w:p>
    <w:p w:rsidR="00A36638" w:rsidRPr="00A36638" w:rsidRDefault="00A36638" w:rsidP="00A36638">
      <w:pPr>
        <w:spacing w:after="0" w:line="240" w:lineRule="auto"/>
        <w:jc w:val="both"/>
        <w:rPr>
          <w:rFonts w:ascii="Cambria" w:eastAsia="Calibri" w:hAnsi="Cambria" w:cs="Calibri"/>
          <w:b/>
          <w:bCs/>
          <w14:ligatures w14:val="standardContextual"/>
        </w:rPr>
      </w:pPr>
      <w:r w:rsidRPr="00A36638">
        <w:rPr>
          <w:rFonts w:ascii="Cambria" w:eastAsia="Calibri" w:hAnsi="Cambria" w:cs="Calibri"/>
          <w:b/>
          <w:bCs/>
          <w14:ligatures w14:val="standardContextual"/>
        </w:rPr>
        <w:t>Par. 8 ust. 2</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Zwracamy uwagę, że limitu kar ustalony na poziomie 30% wartości brutto umowy  może doprowadzić do powstania kary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Wskazać należy, iż celem art. 436 pkt 3) PZP i wprowadzenie obowiązku przewidywania łącznej maksymalnej wysokości kar umownych, których mogą dochodzić Strony, było właśnie uniknięcie sytuacji naliczania rażąco wygórowanych. Zastosowanie kary na poziomie 30% wynagrodzenia Wykonawcy jest sprzeczne z celem tego postanowienia, a dodatkowo kumulowanie ryzyka będzie musiało zostać uwzględnione w cenie oferty wykonawców, co nie jest zjawiskiem korzystnym dla Zamawiającego. W związku z tym, Wykonawca wnosi o wyjaśnienie, czy Zamawiający wyrazi zgodę na zmianę limitu kar, jakie mogą być naliczone w ramach umowy na 20%.</w:t>
      </w:r>
    </w:p>
    <w:p w:rsidR="00A36638" w:rsidRPr="00A36638" w:rsidRDefault="005628BA" w:rsidP="00A36638">
      <w:pPr>
        <w:spacing w:after="0" w:line="240" w:lineRule="auto"/>
        <w:jc w:val="both"/>
        <w:rPr>
          <w:rFonts w:ascii="Cambria" w:eastAsia="Calibri" w:hAnsi="Cambria" w:cs="Calibri"/>
          <w:b/>
          <w:bCs/>
          <w14:ligatures w14:val="standardContextual"/>
        </w:rPr>
      </w:pPr>
      <w:r w:rsidRPr="003520F9">
        <w:rPr>
          <w:rFonts w:ascii="Cambria" w:eastAsia="Calibri" w:hAnsi="Cambria" w:cs="Calibri"/>
          <w:color w:val="FF0000"/>
          <w14:ligatures w14:val="standardContextual"/>
        </w:rPr>
        <w:t>Odpowiedź:</w:t>
      </w:r>
      <w:r>
        <w:rPr>
          <w:rFonts w:ascii="Cambria" w:eastAsia="Calibri" w:hAnsi="Cambria" w:cs="Calibri"/>
          <w:color w:val="FF0000"/>
          <w14:ligatures w14:val="standardContextual"/>
        </w:rPr>
        <w:t xml:space="preserve"> Tak </w:t>
      </w:r>
    </w:p>
    <w:p w:rsidR="00A36638" w:rsidRDefault="00A36638" w:rsidP="00A36638">
      <w:pPr>
        <w:spacing w:after="0" w:line="240" w:lineRule="auto"/>
        <w:jc w:val="both"/>
        <w:rPr>
          <w:rFonts w:ascii="Cambria" w:eastAsia="Calibri" w:hAnsi="Cambria" w:cs="Calibri"/>
          <w:b/>
          <w:bCs/>
          <w14:ligatures w14:val="standardContextual"/>
        </w:rPr>
      </w:pPr>
    </w:p>
    <w:p w:rsidR="00BA57C3" w:rsidRPr="00A36638" w:rsidRDefault="00BA57C3" w:rsidP="00A36638">
      <w:pPr>
        <w:spacing w:after="0" w:line="240" w:lineRule="auto"/>
        <w:jc w:val="both"/>
        <w:rPr>
          <w:rFonts w:ascii="Cambria" w:eastAsia="Calibri" w:hAnsi="Cambria" w:cs="Calibri"/>
          <w:b/>
          <w:bCs/>
          <w14:ligatures w14:val="standardContextual"/>
        </w:rPr>
      </w:pPr>
      <w:r>
        <w:rPr>
          <w:rFonts w:ascii="Cambria" w:eastAsia="Calibri" w:hAnsi="Cambria" w:cs="Calibri"/>
          <w:b/>
          <w:bCs/>
          <w14:ligatures w14:val="standardContextual"/>
        </w:rPr>
        <w:t>Pytanie  nr</w:t>
      </w:r>
      <w:r>
        <w:rPr>
          <w:rFonts w:ascii="Cambria" w:eastAsia="Calibri" w:hAnsi="Cambria" w:cs="Calibri"/>
          <w:b/>
          <w:bCs/>
          <w14:ligatures w14:val="standardContextual"/>
        </w:rPr>
        <w:t xml:space="preserve"> 7 </w:t>
      </w:r>
    </w:p>
    <w:p w:rsidR="00A36638" w:rsidRPr="00A36638" w:rsidRDefault="00A36638" w:rsidP="00A36638">
      <w:pPr>
        <w:spacing w:after="0" w:line="240" w:lineRule="auto"/>
        <w:jc w:val="both"/>
        <w:rPr>
          <w:rFonts w:ascii="Cambria" w:eastAsia="Calibri" w:hAnsi="Cambria" w:cs="Calibri"/>
          <w:b/>
          <w:bCs/>
          <w14:ligatures w14:val="standardContextual"/>
        </w:rPr>
      </w:pPr>
      <w:r w:rsidRPr="00A36638">
        <w:rPr>
          <w:rFonts w:ascii="Cambria" w:eastAsia="Calibri" w:hAnsi="Cambria" w:cs="Calibri"/>
          <w:b/>
          <w:bCs/>
          <w14:ligatures w14:val="standardContextual"/>
        </w:rPr>
        <w:t>Par. 9 ust. 1</w:t>
      </w:r>
    </w:p>
    <w:p w:rsidR="00A36638" w:rsidRPr="00A36638" w:rsidRDefault="00A36638" w:rsidP="00A36638">
      <w:pPr>
        <w:spacing w:after="0" w:line="240" w:lineRule="auto"/>
        <w:jc w:val="both"/>
        <w:rPr>
          <w:rFonts w:ascii="Cambria" w:eastAsia="Calibri" w:hAnsi="Cambria" w:cs="Calibri"/>
          <w14:ligatures w14:val="standardContextual"/>
        </w:rPr>
      </w:pPr>
      <w:bookmarkStart w:id="3" w:name="OLE_LINK28"/>
      <w:r w:rsidRPr="00A36638">
        <w:rPr>
          <w:rFonts w:ascii="Cambria" w:eastAsia="Calibri" w:hAnsi="Cambria" w:cs="Calibri"/>
          <w14:ligatures w14:val="standardContextual"/>
        </w:rPr>
        <w:t xml:space="preserve">Należy zauważyć, że co do zasady umowy w sprawach zamówień publicznych zawierane są na czas oznaczony, a cechą takich umów jest ich trwałość rozumiana w ten sposób, że przepisy </w:t>
      </w:r>
      <w:proofErr w:type="spellStart"/>
      <w:r w:rsidRPr="00A36638">
        <w:rPr>
          <w:rFonts w:ascii="Cambria" w:eastAsia="Calibri" w:hAnsi="Cambria" w:cs="Calibri"/>
          <w14:ligatures w14:val="standardContextual"/>
        </w:rPr>
        <w:t>Pzp</w:t>
      </w:r>
      <w:proofErr w:type="spellEnd"/>
      <w:r w:rsidRPr="00A36638">
        <w:rPr>
          <w:rFonts w:ascii="Cambria" w:eastAsia="Calibri" w:hAnsi="Cambria" w:cs="Calibri"/>
          <w14:ligatures w14:val="standardContextual"/>
        </w:rPr>
        <w:t xml:space="preserve"> nie przewidują możliwości dowolnego rozwiązywania takich umów. W wyroku z dnia 22 stycznia 2014 r., KIO 24/14, Krajowa Izba Odwoławcza zwróciła uwagę, że „Jest to całkowicie zrozumiałe, biorąc pod uwagę, iż wykonawcy mogą racjonalnie skalkulować cenę, wysokość opłat oraz inne parametry finansowe, a także przewidzieć ryzyko związane z kontraktem (w tym ryzyko czy poniesione przez nich nakłady zostaną zrekompensowane przychodami uzyskanymi w określonym okresie obowiązywania umowy), jedynie wówczas, gdy mogą przewidzieć, przez jaki odcinek czasu strony umowy pozostaną nią związane. Wykonawca musi mieć pewność - wynikającą z oszacowania kosztów i zysków, opartych na założeniu świadczenia usługi przez przewidziany w umowie czas - rentowności tego kontraktu, przy zdefiniowanym przynajmniej minimalnym gwarantowanym zakresie tego zamówienia.”. W ocenie Krajowej Izby Odwoławczej, zastrzeżenie bezwarunkowej możliwości wypowiedzenia przez zamawiającego danego rodzaju umowy - nie jest dopuszczalne, z punktu widzenia osiągnięcia celów, którym służą umowy realizacyjne zamówień publicznych i bez ustalenia zasad rozliczeń z tym związanych. Z powyższych względów wnosimy o wykreślenie postanowienia. </w:t>
      </w:r>
    </w:p>
    <w:p w:rsidR="00A36638" w:rsidRPr="00A36638" w:rsidRDefault="005628BA" w:rsidP="00A36638">
      <w:pPr>
        <w:spacing w:after="0" w:line="240" w:lineRule="auto"/>
        <w:jc w:val="both"/>
        <w:rPr>
          <w:rFonts w:ascii="Cambria" w:eastAsia="Calibri" w:hAnsi="Cambria" w:cs="Calibri"/>
          <w:b/>
          <w:bCs/>
          <w14:ligatures w14:val="standardContextual"/>
        </w:rPr>
      </w:pPr>
      <w:r w:rsidRPr="003520F9">
        <w:rPr>
          <w:rFonts w:ascii="Cambria" w:eastAsia="Calibri" w:hAnsi="Cambria" w:cs="Calibri"/>
          <w:color w:val="FF0000"/>
          <w14:ligatures w14:val="standardContextual"/>
        </w:rPr>
        <w:t>Odpowiedź:</w:t>
      </w:r>
      <w:r>
        <w:rPr>
          <w:rFonts w:ascii="Cambria" w:eastAsia="Calibri" w:hAnsi="Cambria" w:cs="Calibri"/>
          <w:color w:val="FF0000"/>
          <w14:ligatures w14:val="standardContextual"/>
        </w:rPr>
        <w:t xml:space="preserve"> Postępowanie  jest  wprowadzone    w trybie  zapytania ofertowego    do kwoty nie przekraczającej   do 130 000,00  zł </w:t>
      </w:r>
    </w:p>
    <w:p w:rsidR="005628BA" w:rsidRDefault="005628BA" w:rsidP="00A36638">
      <w:pPr>
        <w:spacing w:after="0" w:line="240" w:lineRule="auto"/>
        <w:jc w:val="both"/>
        <w:rPr>
          <w:rFonts w:ascii="Cambria" w:eastAsia="Calibri" w:hAnsi="Cambria" w:cs="Calibri"/>
          <w:b/>
          <w:bCs/>
          <w14:ligatures w14:val="standardContextual"/>
        </w:rPr>
      </w:pPr>
    </w:p>
    <w:p w:rsidR="00BA57C3" w:rsidRDefault="00BA57C3" w:rsidP="00A36638">
      <w:pPr>
        <w:spacing w:after="0" w:line="240" w:lineRule="auto"/>
        <w:jc w:val="both"/>
        <w:rPr>
          <w:rFonts w:ascii="Cambria" w:eastAsia="Calibri" w:hAnsi="Cambria" w:cs="Calibri"/>
          <w:b/>
          <w:bCs/>
          <w14:ligatures w14:val="standardContextual"/>
        </w:rPr>
      </w:pPr>
      <w:r>
        <w:rPr>
          <w:rFonts w:ascii="Cambria" w:eastAsia="Calibri" w:hAnsi="Cambria" w:cs="Calibri"/>
          <w:b/>
          <w:bCs/>
          <w14:ligatures w14:val="standardContextual"/>
        </w:rPr>
        <w:t>Pytanie  nr</w:t>
      </w:r>
      <w:r>
        <w:rPr>
          <w:rFonts w:ascii="Cambria" w:eastAsia="Calibri" w:hAnsi="Cambria" w:cs="Calibri"/>
          <w:b/>
          <w:bCs/>
          <w14:ligatures w14:val="standardContextual"/>
        </w:rPr>
        <w:t xml:space="preserve"> 8 </w:t>
      </w:r>
    </w:p>
    <w:p w:rsidR="00A36638" w:rsidRPr="00A36638" w:rsidRDefault="00A36638" w:rsidP="00A36638">
      <w:pPr>
        <w:spacing w:after="0" w:line="240" w:lineRule="auto"/>
        <w:jc w:val="both"/>
        <w:rPr>
          <w:rFonts w:ascii="Cambria" w:eastAsia="Calibri" w:hAnsi="Cambria" w:cs="Calibri"/>
          <w:b/>
          <w:bCs/>
          <w14:ligatures w14:val="standardContextual"/>
        </w:rPr>
      </w:pPr>
      <w:r w:rsidRPr="00A36638">
        <w:rPr>
          <w:rFonts w:ascii="Cambria" w:eastAsia="Calibri" w:hAnsi="Cambria" w:cs="Calibri"/>
          <w:b/>
          <w:bCs/>
          <w14:ligatures w14:val="standardContextual"/>
        </w:rPr>
        <w:t>Par. 9 ust. 2</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 xml:space="preserve">Rozwiązanie umowy ze skutkiem natychmiastowym jest czynnością radykalną i nie powinno zaskakiwać żadnej ze Stron. Mając na względzie ogólne sformułowanie podstaw do takiego rozwiązana z winy Wykonawcy, przewidziane uprawnienie wiąże się z istotnym ryzykiem po stronie wykonawcy które nie znajduje obiektywnego uzasadnienia. Proponujemy, aby przed rozwiązaniem umowy Zamawiający wezwał Wykonawcę do usunięcia naruszenia z zagrożeniem rozwiązania ze skutkiem natychmiastowym umowy, udzielając mu odpowiedniego dodatkowego terminu, nie krótszego niż 7 dni. Dzięki takiemu rozwiązaniu zachowana jest ochrona słusznego interesu Zamawiającego, a Wykonawcy umożliwia rzetelną kalkulację ryzyka. </w:t>
      </w:r>
    </w:p>
    <w:p w:rsidR="00A36638" w:rsidRPr="00A36638" w:rsidRDefault="00A36638" w:rsidP="00A36638">
      <w:pPr>
        <w:spacing w:after="0" w:line="240" w:lineRule="auto"/>
        <w:jc w:val="both"/>
        <w:rPr>
          <w:rFonts w:ascii="Cambria" w:eastAsia="Calibri" w:hAnsi="Cambria" w:cs="Calibri"/>
          <w14:ligatures w14:val="standardContextual"/>
        </w:rPr>
      </w:pPr>
      <w:r w:rsidRPr="00A36638">
        <w:rPr>
          <w:rFonts w:ascii="Cambria" w:eastAsia="Calibri" w:hAnsi="Cambria" w:cs="Calibri"/>
          <w14:ligatures w14:val="standardContextual"/>
        </w:rPr>
        <w:t xml:space="preserve">Proponujemy zatem dodanie do §9 ust. 2 zapisu: „Zamawiający może skorzystać z prawa rozwiązania po pisemnym wezwaniu Wykonawcy do należytej realizacji umowy lub usunięcia </w:t>
      </w:r>
      <w:r w:rsidRPr="00A36638">
        <w:rPr>
          <w:rFonts w:ascii="Cambria" w:eastAsia="Calibri" w:hAnsi="Cambria" w:cs="Calibri"/>
          <w14:ligatures w14:val="standardContextual"/>
        </w:rPr>
        <w:lastRenderedPageBreak/>
        <w:t>przyczyn leżących po stronie Wykonawcy stanowiących podstawę do rozwiązania lub ich skutków i po bezskutecznym upływie wyznaczonego w wezwaniu dodatkowego terminu, nie krótszego niż 7 dni .”</w:t>
      </w:r>
      <w:bookmarkEnd w:id="3"/>
    </w:p>
    <w:p w:rsidR="005628BA" w:rsidRPr="00A36638" w:rsidRDefault="005628BA" w:rsidP="005628BA">
      <w:pPr>
        <w:spacing w:after="0" w:line="240" w:lineRule="auto"/>
        <w:jc w:val="both"/>
        <w:rPr>
          <w:rFonts w:ascii="Cambria" w:eastAsia="Calibri" w:hAnsi="Cambria" w:cs="Calibri"/>
          <w:b/>
          <w:bCs/>
          <w14:ligatures w14:val="standardContextual"/>
        </w:rPr>
      </w:pPr>
      <w:r>
        <w:rPr>
          <w:rFonts w:ascii="Cambria" w:eastAsia="Calibri" w:hAnsi="Cambria" w:cs="Calibri"/>
          <w:color w:val="FF0000"/>
          <w14:ligatures w14:val="standardContextual"/>
        </w:rPr>
        <w:t>Odpowiedź: Zamawiający  pozostawia  bez  zmian</w:t>
      </w:r>
    </w:p>
    <w:p w:rsidR="00A36638" w:rsidRPr="00A36638" w:rsidRDefault="00A36638" w:rsidP="00A36638">
      <w:pPr>
        <w:spacing w:after="0" w:line="240" w:lineRule="auto"/>
        <w:rPr>
          <w:rFonts w:ascii="Cambria" w:eastAsia="Calibri" w:hAnsi="Cambria" w:cs="Calibri"/>
          <w14:ligatures w14:val="standardContextual"/>
        </w:rPr>
      </w:pPr>
    </w:p>
    <w:p w:rsidR="00A36638" w:rsidRPr="00A36638" w:rsidRDefault="00A36638" w:rsidP="00A36638">
      <w:pPr>
        <w:spacing w:after="0" w:line="240" w:lineRule="auto"/>
        <w:rPr>
          <w:rFonts w:ascii="Cambria" w:eastAsia="Calibri" w:hAnsi="Cambria" w:cs="Calibri"/>
          <w14:ligatures w14:val="standardContextual"/>
        </w:rPr>
      </w:pPr>
    </w:p>
    <w:p w:rsidR="00A36638" w:rsidRDefault="00BA57C3" w:rsidP="00A36638">
      <w:pPr>
        <w:spacing w:after="0" w:line="240" w:lineRule="auto"/>
        <w:rPr>
          <w:rFonts w:ascii="Cambria" w:eastAsia="Calibri" w:hAnsi="Cambria" w:cs="Calibri"/>
          <w:b/>
          <w:bCs/>
          <w14:ligatures w14:val="standardContextual"/>
        </w:rPr>
      </w:pPr>
      <w:r>
        <w:rPr>
          <w:rFonts w:ascii="Cambria" w:eastAsia="Calibri" w:hAnsi="Cambria" w:cs="Calibri"/>
          <w:b/>
          <w:bCs/>
          <w14:ligatures w14:val="standardContextual"/>
        </w:rPr>
        <w:t>Pytanie  nr</w:t>
      </w:r>
      <w:r>
        <w:rPr>
          <w:rFonts w:ascii="Cambria" w:eastAsia="Calibri" w:hAnsi="Cambria" w:cs="Calibri"/>
          <w:b/>
          <w:bCs/>
          <w14:ligatures w14:val="standardContextual"/>
        </w:rPr>
        <w:t xml:space="preserve"> 9 </w:t>
      </w:r>
    </w:p>
    <w:p w:rsidR="00BA57C3" w:rsidRPr="00A36638" w:rsidRDefault="00BA57C3" w:rsidP="00A36638">
      <w:pPr>
        <w:spacing w:after="0" w:line="240" w:lineRule="auto"/>
        <w:rPr>
          <w:rFonts w:ascii="Cambria" w:eastAsia="Calibri" w:hAnsi="Cambria" w:cs="Calibri"/>
          <w14:ligatures w14:val="standardContextual"/>
        </w:rPr>
      </w:pPr>
    </w:p>
    <w:p w:rsidR="00A36638" w:rsidRPr="00A36638" w:rsidRDefault="00A36638" w:rsidP="00A36638">
      <w:pPr>
        <w:spacing w:after="0" w:line="240" w:lineRule="auto"/>
        <w:rPr>
          <w:rFonts w:ascii="Cambria" w:eastAsia="Calibri" w:hAnsi="Cambria" w:cs="Calibri"/>
          <w14:ligatures w14:val="standardContextual"/>
        </w:rPr>
      </w:pPr>
      <w:r w:rsidRPr="00A36638">
        <w:rPr>
          <w:rFonts w:ascii="Cambria" w:eastAsia="Calibri" w:hAnsi="Cambria" w:cs="Calibri"/>
          <w:b/>
          <w:bCs/>
          <w14:ligatures w14:val="standardContextual"/>
        </w:rPr>
        <w:t>do par. 8 ust.1 pkt 1 i 2</w:t>
      </w:r>
      <w:r w:rsidRPr="00A36638">
        <w:rPr>
          <w:rFonts w:ascii="Cambria" w:eastAsia="Calibri" w:hAnsi="Cambria" w:cs="Calibri"/>
          <w14:ligatures w14:val="standardContextual"/>
        </w:rPr>
        <w:t xml:space="preserve"> </w:t>
      </w:r>
    </w:p>
    <w:p w:rsidR="00A36638" w:rsidRPr="00A36638" w:rsidRDefault="00A36638" w:rsidP="00A36638">
      <w:pPr>
        <w:spacing w:after="0" w:line="240" w:lineRule="auto"/>
        <w:rPr>
          <w:rFonts w:ascii="Cambria" w:eastAsia="Calibri" w:hAnsi="Cambria" w:cs="Calibri"/>
          <w14:ligatures w14:val="standardContextual"/>
        </w:rPr>
      </w:pPr>
      <w:r w:rsidRPr="00A36638">
        <w:rPr>
          <w:rFonts w:ascii="Cambria" w:eastAsia="Calibri" w:hAnsi="Cambria" w:cs="Calibri"/>
          <w14:ligatures w14:val="standardContextual"/>
        </w:rPr>
        <w:t>„Kara umowna jako surogat odszkodowania za nieterminową realizację przedmiotu umowy powinna być ściśle związana z wartością przedmiotu umowy. Wprowadzenie kary wyrażonej sztywną kwotą może nie odzwierciedlać realnego charakteru ewentualnej szkody Zamawiającego i prowadzić do jego bezpodstawnego wzbogacenia. W związku z tym proponujemy zastąpienie kary wyrażonej kwotowo, karą wyrażoną jako procent od wartości umowy na poziomie 0,2% za dzień zwłoki lub niesprawności”.</w:t>
      </w:r>
    </w:p>
    <w:p w:rsidR="005628BA" w:rsidRPr="00A36638" w:rsidRDefault="005628BA" w:rsidP="005628BA">
      <w:pPr>
        <w:spacing w:after="0" w:line="240" w:lineRule="auto"/>
        <w:jc w:val="both"/>
        <w:rPr>
          <w:rFonts w:ascii="Cambria" w:eastAsia="Calibri" w:hAnsi="Cambria" w:cs="Calibri"/>
          <w:b/>
          <w:bCs/>
          <w14:ligatures w14:val="standardContextual"/>
        </w:rPr>
      </w:pPr>
      <w:r>
        <w:rPr>
          <w:rFonts w:ascii="Cambria" w:eastAsia="Calibri" w:hAnsi="Cambria" w:cs="Calibri"/>
          <w:color w:val="FF0000"/>
          <w14:ligatures w14:val="standardContextual"/>
        </w:rPr>
        <w:t>Odpowiedź: Zamawiający  pozostawia  bez  zmian</w:t>
      </w:r>
    </w:p>
    <w:p w:rsidR="0043703F" w:rsidRDefault="00BA31EE">
      <w:pPr>
        <w:rPr>
          <w:rFonts w:ascii="Cambria" w:hAnsi="Cambria"/>
        </w:rPr>
      </w:pPr>
    </w:p>
    <w:p w:rsidR="00BA57C3" w:rsidRDefault="00BA57C3">
      <w:pPr>
        <w:rPr>
          <w:rFonts w:ascii="Cambria" w:hAnsi="Cambria"/>
        </w:rPr>
      </w:pPr>
    </w:p>
    <w:p w:rsidR="00BA57C3" w:rsidRDefault="00BA57C3">
      <w:pPr>
        <w:rPr>
          <w:rFonts w:ascii="Cambria" w:hAnsi="Cambria"/>
        </w:rPr>
      </w:pPr>
    </w:p>
    <w:p w:rsidR="00BA57C3" w:rsidRDefault="00BA57C3">
      <w:pPr>
        <w:rPr>
          <w:rFonts w:ascii="Cambria" w:hAnsi="Cambria"/>
        </w:rPr>
      </w:pPr>
    </w:p>
    <w:p w:rsidR="00BA57C3" w:rsidRDefault="00BA57C3">
      <w:pPr>
        <w:rPr>
          <w:rFonts w:ascii="Cambria" w:hAnsi="Cambria"/>
        </w:rPr>
      </w:pPr>
    </w:p>
    <w:p w:rsidR="00BA57C3" w:rsidRPr="003520F9" w:rsidRDefault="00BA57C3">
      <w:pPr>
        <w:rPr>
          <w:rFonts w:ascii="Cambria" w:hAnsi="Cambria"/>
        </w:rPr>
      </w:pPr>
      <w:r>
        <w:rPr>
          <w:rFonts w:ascii="Cambria" w:hAnsi="Cambria"/>
        </w:rPr>
        <w:t>Zamawiający dokonał  zmiany  w zakresie  wzoru umowy  - nowy wzór   w załączeniu</w:t>
      </w:r>
    </w:p>
    <w:sectPr w:rsidR="00BA57C3" w:rsidRPr="003520F9" w:rsidSect="00BA57C3">
      <w:headerReference w:type="default" r:id="rId7"/>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EE" w:rsidRDefault="00BA31EE" w:rsidP="00BA57C3">
      <w:pPr>
        <w:spacing w:after="0" w:line="240" w:lineRule="auto"/>
      </w:pPr>
      <w:r>
        <w:separator/>
      </w:r>
    </w:p>
  </w:endnote>
  <w:endnote w:type="continuationSeparator" w:id="0">
    <w:p w:rsidR="00BA31EE" w:rsidRDefault="00BA31EE" w:rsidP="00BA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ptos">
    <w:altName w:val="Arial"/>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EE" w:rsidRDefault="00BA31EE" w:rsidP="00BA57C3">
      <w:pPr>
        <w:spacing w:after="0" w:line="240" w:lineRule="auto"/>
      </w:pPr>
      <w:r>
        <w:separator/>
      </w:r>
    </w:p>
  </w:footnote>
  <w:footnote w:type="continuationSeparator" w:id="0">
    <w:p w:rsidR="00BA31EE" w:rsidRDefault="00BA31EE" w:rsidP="00BA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C3" w:rsidRDefault="00BA57C3">
    <w:pPr>
      <w:pStyle w:val="Nagwek"/>
    </w:pPr>
    <w:r w:rsidRPr="00BA57C3">
      <w:rPr>
        <w:rFonts w:ascii="Aptos" w:eastAsia="Aptos" w:hAnsi="Aptos" w:cs="Times New Roman"/>
        <w:noProof/>
        <w:kern w:val="2"/>
        <w:lang w:eastAsia="pl-PL"/>
      </w:rPr>
      <w:drawing>
        <wp:anchor distT="0" distB="0" distL="114300" distR="114300" simplePos="0" relativeHeight="251659264" behindDoc="0" locked="0" layoutInCell="1" allowOverlap="1" wp14:anchorId="500F5AC4" wp14:editId="7819E678">
          <wp:simplePos x="0" y="0"/>
          <wp:positionH relativeFrom="margin">
            <wp:posOffset>0</wp:posOffset>
          </wp:positionH>
          <wp:positionV relativeFrom="margin">
            <wp:posOffset>-279400</wp:posOffset>
          </wp:positionV>
          <wp:extent cx="5760720" cy="828675"/>
          <wp:effectExtent l="0" t="0" r="0" b="9525"/>
          <wp:wrapSquare wrapText="bothSides"/>
          <wp:docPr id="1805379909" name="Obraz 2"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79909" name="Obraz 2" descr="Obraz zawierający tekst, Czcionka, zrzut ekranu&#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38"/>
    <w:rsid w:val="003520F9"/>
    <w:rsid w:val="005628BA"/>
    <w:rsid w:val="007056C5"/>
    <w:rsid w:val="00A36638"/>
    <w:rsid w:val="00B07E9C"/>
    <w:rsid w:val="00BA31EE"/>
    <w:rsid w:val="00BA57C3"/>
    <w:rsid w:val="00C243B6"/>
    <w:rsid w:val="00F64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6C3B"/>
  <w15:chartTrackingRefBased/>
  <w15:docId w15:val="{DB443FF4-7428-4318-98E4-37B6DF31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7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57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7C3"/>
  </w:style>
  <w:style w:type="paragraph" w:styleId="Stopka">
    <w:name w:val="footer"/>
    <w:basedOn w:val="Normalny"/>
    <w:link w:val="StopkaZnak"/>
    <w:uiPriority w:val="99"/>
    <w:unhideWhenUsed/>
    <w:rsid w:val="00BA5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8136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Akademia Wojsk Ladowych</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Janicka-Suchacz Elżbieta</dc:creator>
  <cp:keywords/>
  <dc:description/>
  <cp:lastModifiedBy>Janicka-Suchacz Elżbieta</cp:lastModifiedBy>
  <cp:revision>2</cp:revision>
  <dcterms:created xsi:type="dcterms:W3CDTF">2024-02-23T11:01:00Z</dcterms:created>
  <dcterms:modified xsi:type="dcterms:W3CDTF">2024-02-23T11:01:00Z</dcterms:modified>
</cp:coreProperties>
</file>