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CB43E8" w:rsidRPr="005C7980" w:rsidRDefault="00CB43E8" w:rsidP="00CB43E8">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proofErr w:type="spellStart"/>
      <w:r w:rsidRPr="00F54BC0">
        <w:rPr>
          <w:rFonts w:ascii="Arial" w:hAnsi="Arial" w:cs="Arial"/>
          <w:sz w:val="21"/>
          <w:szCs w:val="21"/>
          <w:lang w:val="en-US"/>
        </w:rPr>
        <w:t>Numer</w:t>
      </w:r>
      <w:proofErr w:type="spellEnd"/>
      <w:r w:rsidRPr="00F54BC0">
        <w:rPr>
          <w:rFonts w:ascii="Arial" w:hAnsi="Arial" w:cs="Arial"/>
          <w:sz w:val="21"/>
          <w:szCs w:val="21"/>
          <w:lang w:val="en-US"/>
        </w:rPr>
        <w:t xml:space="preserve"> </w:t>
      </w:r>
      <w:proofErr w:type="spellStart"/>
      <w:r w:rsidRPr="00F54BC0">
        <w:rPr>
          <w:rFonts w:ascii="Arial" w:hAnsi="Arial" w:cs="Arial"/>
          <w:sz w:val="21"/>
          <w:szCs w:val="21"/>
          <w:lang w:val="en-US"/>
        </w:rPr>
        <w:t>telefonu</w:t>
      </w:r>
      <w:proofErr w:type="spellEnd"/>
      <w:r w:rsidRPr="00F54BC0">
        <w:rPr>
          <w:rFonts w:ascii="Arial" w:hAnsi="Arial" w:cs="Arial"/>
          <w:sz w:val="21"/>
          <w:szCs w:val="21"/>
          <w:lang w:val="en-US"/>
        </w:rPr>
        <w:t xml:space="preserve"> … </w:t>
      </w:r>
      <w:proofErr w:type="spellStart"/>
      <w:r w:rsidRPr="005C7980">
        <w:rPr>
          <w:rFonts w:ascii="Arial" w:hAnsi="Arial" w:cs="Arial"/>
          <w:sz w:val="21"/>
          <w:szCs w:val="21"/>
          <w:lang w:val="en-US"/>
        </w:rPr>
        <w:t>Adres</w:t>
      </w:r>
      <w:proofErr w:type="spellEnd"/>
      <w:r w:rsidRPr="005C7980">
        <w:rPr>
          <w:rFonts w:ascii="Arial" w:hAnsi="Arial" w:cs="Arial"/>
          <w:sz w:val="21"/>
          <w:szCs w:val="21"/>
          <w:lang w:val="en-US"/>
        </w:rPr>
        <w:t xml:space="preserve"> e – mail: …</w:t>
      </w:r>
    </w:p>
    <w:p w:rsidR="00CF722A" w:rsidRPr="00F54BC0" w:rsidRDefault="00CF722A" w:rsidP="00AB11A8">
      <w:pPr>
        <w:spacing w:line="360" w:lineRule="auto"/>
        <w:jc w:val="both"/>
        <w:rPr>
          <w:rFonts w:ascii="Arial" w:hAnsi="Arial" w:cs="Arial"/>
          <w:sz w:val="21"/>
          <w:szCs w:val="21"/>
          <w:lang w:val="en-US"/>
        </w:rPr>
      </w:pPr>
      <w:r w:rsidRPr="00F54BC0">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5C7980">
        <w:rPr>
          <w:rFonts w:ascii="Arial" w:hAnsi="Arial" w:cs="Arial"/>
          <w:b/>
          <w:bCs/>
          <w:sz w:val="21"/>
          <w:szCs w:val="21"/>
        </w:rPr>
        <w:t>8</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 xml:space="preserve">Axx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fakturę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 xml:space="preserve">Zamawiającego </w:t>
      </w:r>
      <w:r w:rsidRPr="005B403A">
        <w:rPr>
          <w:rFonts w:ascii="Arial" w:hAnsi="Arial" w:cs="Arial"/>
          <w:sz w:val="20"/>
          <w:szCs w:val="20"/>
        </w:rPr>
        <w:lastRenderedPageBreak/>
        <w:t>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 xml:space="preserve">zakresie płatności wynikających z faktur wystawionych po wejściu w życie przepisów </w:t>
      </w:r>
      <w:r w:rsidRPr="005B403A">
        <w:rPr>
          <w:rFonts w:ascii="Arial" w:hAnsi="Arial" w:cs="Arial"/>
          <w:sz w:val="20"/>
          <w:szCs w:val="20"/>
        </w:rPr>
        <w:lastRenderedPageBreak/>
        <w:t>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F54BC0" w:rsidRDefault="00F54BC0" w:rsidP="00F54BC0">
      <w:pPr>
        <w:spacing w:line="276" w:lineRule="auto"/>
        <w:jc w:val="both"/>
        <w:rPr>
          <w:rFonts w:ascii="Arial" w:hAnsi="Arial" w:cs="Arial"/>
          <w:sz w:val="20"/>
          <w:szCs w:val="20"/>
        </w:rPr>
      </w:pPr>
    </w:p>
    <w:p w:rsidR="00F54BC0" w:rsidRDefault="00F54BC0" w:rsidP="00F54BC0">
      <w:pPr>
        <w:spacing w:line="276" w:lineRule="auto"/>
        <w:jc w:val="both"/>
        <w:rPr>
          <w:rFonts w:ascii="Arial" w:hAnsi="Arial" w:cs="Arial"/>
          <w:sz w:val="20"/>
          <w:szCs w:val="20"/>
        </w:rPr>
      </w:pPr>
    </w:p>
    <w:p w:rsidR="00F54BC0" w:rsidRPr="00F54BC0" w:rsidRDefault="00F54BC0" w:rsidP="00F54BC0">
      <w:pPr>
        <w:spacing w:line="276" w:lineRule="auto"/>
        <w:jc w:val="both"/>
        <w:rPr>
          <w:rFonts w:ascii="Arial" w:hAnsi="Arial" w:cs="Arial"/>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155C9C" w:rsidP="006B53C4">
      <w:pPr>
        <w:pStyle w:val="Akapitzlist"/>
        <w:numPr>
          <w:ilvl w:val="0"/>
          <w:numId w:val="27"/>
        </w:numPr>
        <w:spacing w:line="276" w:lineRule="auto"/>
        <w:jc w:val="both"/>
        <w:rPr>
          <w:rFonts w:ascii="Arial" w:hAnsi="Arial" w:cs="Arial"/>
          <w:sz w:val="20"/>
          <w:szCs w:val="20"/>
        </w:rPr>
      </w:pPr>
      <w:r w:rsidRPr="00155C9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 stosunku do ceny energii elektrycznej z oferty wyłonionego w postępowaniu Wykonawcy</w:t>
      </w:r>
      <w:r>
        <w:rPr>
          <w:rFonts w:ascii="Arial" w:hAnsi="Arial" w:cs="Arial"/>
          <w:sz w:val="20"/>
          <w:szCs w:val="20"/>
        </w:rPr>
        <w:t xml:space="preserve">. </w:t>
      </w:r>
      <w:r w:rsidR="006B53C4" w:rsidRPr="005B403A">
        <w:rPr>
          <w:rFonts w:ascii="Arial" w:hAnsi="Arial" w:cs="Arial"/>
          <w:sz w:val="20"/>
          <w:szCs w:val="20"/>
        </w:rPr>
        <w:t>Kary</w:t>
      </w:r>
      <w:r>
        <w:rPr>
          <w:rFonts w:ascii="Arial" w:hAnsi="Arial" w:cs="Arial"/>
          <w:sz w:val="20"/>
          <w:szCs w:val="20"/>
        </w:rPr>
        <w:t> </w:t>
      </w:r>
      <w:r w:rsidR="006B53C4" w:rsidRPr="005B403A">
        <w:rPr>
          <w:rFonts w:ascii="Arial" w:hAnsi="Arial" w:cs="Arial"/>
          <w:sz w:val="20"/>
          <w:szCs w:val="20"/>
        </w:rPr>
        <w:t xml:space="preserve">umowne z różnych tytułów mogą podlegać sumowaniu, z zastrzeżeniem zapisów ust. </w:t>
      </w:r>
      <w:r>
        <w:rPr>
          <w:rFonts w:ascii="Arial" w:hAnsi="Arial" w:cs="Arial"/>
          <w:sz w:val="20"/>
          <w:szCs w:val="20"/>
        </w:rPr>
        <w:t>5</w:t>
      </w:r>
      <w:r w:rsidR="006B53C4" w:rsidRPr="005B403A">
        <w:rPr>
          <w:rFonts w:ascii="Arial" w:hAnsi="Arial" w:cs="Arial"/>
          <w:sz w:val="20"/>
          <w:szCs w:val="20"/>
        </w:rPr>
        <w:t>.</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Ceny energii elektrycznej jednostkowej za 1 kWh netto, określonej w §5 ust. 1 umowy pozostają niezmienne w okresie obowiązywania umowy, za wyjątkiem nowelizacji skutkujących zmianą kwoty podatku VAT lub podatku akcyzowego. Ceny energii </w:t>
      </w:r>
      <w:r w:rsidRPr="009D2769">
        <w:rPr>
          <w:rFonts w:ascii="Arial" w:hAnsi="Arial" w:cs="Arial"/>
          <w:sz w:val="20"/>
          <w:szCs w:val="20"/>
        </w:rPr>
        <w:lastRenderedPageBreak/>
        <w:t>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7DA9" w:rsidRDefault="00AF7DA9" w:rsidP="00656A07">
      <w:r>
        <w:separator/>
      </w:r>
    </w:p>
  </w:endnote>
  <w:endnote w:type="continuationSeparator" w:id="0">
    <w:p w:rsidR="00AF7DA9" w:rsidRDefault="00AF7DA9"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7DA9" w:rsidRDefault="00AF7DA9" w:rsidP="00656A07">
      <w:r>
        <w:separator/>
      </w:r>
    </w:p>
  </w:footnote>
  <w:footnote w:type="continuationSeparator" w:id="0">
    <w:p w:rsidR="00AF7DA9" w:rsidRDefault="00AF7DA9"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F7DA9">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F7DA9">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F7DA9">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B41C6"/>
    <w:rsid w:val="000F4C4B"/>
    <w:rsid w:val="00143BC7"/>
    <w:rsid w:val="00155C9C"/>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B5247"/>
    <w:rsid w:val="005525FF"/>
    <w:rsid w:val="00587D06"/>
    <w:rsid w:val="005B403A"/>
    <w:rsid w:val="005C7980"/>
    <w:rsid w:val="005E34C5"/>
    <w:rsid w:val="00601B0E"/>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AF7DA9"/>
    <w:rsid w:val="00B46AE0"/>
    <w:rsid w:val="00BC2681"/>
    <w:rsid w:val="00BC2DE1"/>
    <w:rsid w:val="00BF0917"/>
    <w:rsid w:val="00C06DCE"/>
    <w:rsid w:val="00C86382"/>
    <w:rsid w:val="00CA5BBD"/>
    <w:rsid w:val="00CB43E8"/>
    <w:rsid w:val="00CC2A27"/>
    <w:rsid w:val="00CD4377"/>
    <w:rsid w:val="00CF722A"/>
    <w:rsid w:val="00D24FF4"/>
    <w:rsid w:val="00DB26FF"/>
    <w:rsid w:val="00DC0ED1"/>
    <w:rsid w:val="00DD4911"/>
    <w:rsid w:val="00DE389E"/>
    <w:rsid w:val="00DE4535"/>
    <w:rsid w:val="00E505CE"/>
    <w:rsid w:val="00E61B19"/>
    <w:rsid w:val="00E65C41"/>
    <w:rsid w:val="00F438FE"/>
    <w:rsid w:val="00F51579"/>
    <w:rsid w:val="00F54BC0"/>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0F24B"/>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9</Pages>
  <Words>4224</Words>
  <Characters>25344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40</cp:revision>
  <dcterms:created xsi:type="dcterms:W3CDTF">2023-09-26T08:51:00Z</dcterms:created>
  <dcterms:modified xsi:type="dcterms:W3CDTF">2024-10-09T09:46:00Z</dcterms:modified>
</cp:coreProperties>
</file>