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right" w:tblpY="593"/>
        <w:tblW w:w="9745" w:type="dxa"/>
        <w:tblInd w:w="0" w:type="dxa"/>
        <w:tblCellMar>
          <w:top w:w="39" w:type="dxa"/>
          <w:left w:w="101" w:type="dxa"/>
          <w:bottom w:w="46" w:type="dxa"/>
          <w:right w:w="295" w:type="dxa"/>
        </w:tblCellMar>
        <w:tblLook w:val="04A0" w:firstRow="1" w:lastRow="0" w:firstColumn="1" w:lastColumn="0" w:noHBand="0" w:noVBand="1"/>
      </w:tblPr>
      <w:tblGrid>
        <w:gridCol w:w="2260"/>
        <w:gridCol w:w="5448"/>
        <w:gridCol w:w="2037"/>
      </w:tblGrid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  <w:r w:rsidRPr="00751E9D">
              <w:rPr>
                <w:rFonts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751E9D">
              <w:rPr>
                <w:rFonts w:cstheme="minorHAnsi"/>
                <w:b/>
                <w:sz w:val="20"/>
                <w:szCs w:val="20"/>
              </w:rPr>
              <w:t>Parametry minimalne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9C3243" w:rsidRDefault="00EB235E" w:rsidP="00066DB3">
            <w:pPr>
              <w:rPr>
                <w:b/>
                <w:bCs/>
              </w:rPr>
            </w:pPr>
            <w:r>
              <w:rPr>
                <w:b/>
                <w:bCs/>
              </w:rPr>
              <w:t>Obudowa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Obudowa typu </w:t>
            </w:r>
            <w:proofErr w:type="spellStart"/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rack</w:t>
            </w:r>
            <w:proofErr w:type="spellEnd"/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o wysokości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minimum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U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Możliwość zainstalowania w standardowej szafie RACK 19”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Przeznaczony do montażu stelażowego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Dostarczony wraz z kompletem szyn montażowych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85674">
              <w:rPr>
                <w:rFonts w:ascii="Calibri" w:eastAsia="Calibri" w:hAnsi="Calibri" w:cs="Times New Roman"/>
                <w:b/>
                <w:bCs/>
                <w:kern w:val="2"/>
                <w:lang w:eastAsia="en-US"/>
                <w14:ligatures w14:val="standardContextual"/>
              </w:rPr>
              <w:t>Procesor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Zainstalowany 1 procesor: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imum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16-rdzeniowy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min.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32-wątkowy procesor 64-bitowy x86 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Pamięć L3 Cache: min. 128 MB 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Maksymalna ilość wydzielanego ciepła w ciągu sekundy (TDP) -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155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W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sz w:val="20"/>
                <w:szCs w:val="20"/>
              </w:rPr>
            </w:pPr>
            <w:r w:rsidRPr="006371A5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32 500 punktów w teście </w:t>
            </w:r>
            <w:proofErr w:type="spellStart"/>
            <w:r w:rsidRPr="006371A5">
              <w:rPr>
                <w:rFonts w:ascii="Calibri" w:eastAsia="Calibri" w:hAnsi="Calibri" w:cs="Times New Roman"/>
                <w:kern w:val="2"/>
                <w14:ligatures w14:val="standardContextual"/>
              </w:rPr>
              <w:t>PassMark</w:t>
            </w:r>
            <w:proofErr w:type="spellEnd"/>
            <w:r w:rsidRPr="006371A5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CPU Mark dostępnym na stronie www.cpubenchmark.net na dzień 13.09.2024 r.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ind w:left="36" w:firstLine="5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85674">
              <w:rPr>
                <w:rFonts w:ascii="Calibri" w:eastAsia="Calibri" w:hAnsi="Calibri" w:cs="Times New Roman"/>
                <w:b/>
                <w:bCs/>
                <w:kern w:val="2"/>
                <w:lang w:eastAsia="en-US"/>
                <w14:ligatures w14:val="standardContextual"/>
              </w:rPr>
              <w:t>Pamięć RAM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256 GB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Zabezpieczenie pamięci mechanizmem ECC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16 slotów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min. 1 TB pamięci przy rozbudowie z zaoferowanym typem pamięci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 xml:space="preserve">Wbudowana pamięć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flash</w:t>
            </w:r>
            <w:proofErr w:type="spellEnd"/>
            <w:r w:rsidRPr="00B751D1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 xml:space="preserve"> 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B751D1">
              <w:rPr>
                <w:rFonts w:ascii="Calibri" w:eastAsia="Calibri" w:hAnsi="Calibri" w:cs="Times New Roman"/>
                <w:kern w:val="2"/>
                <w14:ligatures w14:val="standardContextual"/>
              </w:rPr>
              <w:t>min. 5GB</w:t>
            </w:r>
          </w:p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Wnęki dysków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24 miejsca na dyski 2,5-calowe U.2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NVMe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Interfejsy sieciowe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 porty 2.5 Gigabit Ethernet (2,5G/1G/100M/10M)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4. Porty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25GbE SFP28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SmartNIC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:u w:val="single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:u w:val="single"/>
                <w14:ligatures w14:val="standardContextual"/>
              </w:rPr>
              <w:t>Dodatkowa karta rozszerzeń producenta: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Dwu portowa Karta sieciowa 100GbE: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 złącza QSFP28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Interfejs: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4.0 x16 (zgodny z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3.0 x16)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Prędkość transmisji: 100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Gb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/s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SR-IOV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RDMA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Obsługa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iSER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Standardy IEEE: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802.3bs, 200 Gigabit Ethernet &gt; IEEE 802.3cd, 50, 100 i 200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Gigabit Ethernet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802.3bj, 802.3bm 100 Gigabit Ethernet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802.3by, 25, 50 Gigabit Ethernet z obsługą wszystkich trybów FEC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IEEE 802.3ba 40 Gigabit Ethernet &gt; IEEE 802.3ae 10 Gigabit Ethernet &gt; IEEE 802.3az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Energy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Efficient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Ethernet (z obsługą tylko trybu „Fast-Wake”)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lastRenderedPageBreak/>
              <w:t>IEEE 802.3ap w oparciu o automatyczne negocjacje i rozruch KR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802.3ad, agregacja łączy 802.1AX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802.1Q, 802.1P VLAN — znaczniki i priorytety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802.1Qaz (ETS)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802.1Qbb (PFC)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802.1Qbg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25/50 Ethernet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Consortium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„Minimalne opóźnienia FEC” dla łączy 50GE/100GE/200GE PAM4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PCI Express Gen3 i Gen4 </w:t>
            </w:r>
          </w:p>
          <w:p w:rsidR="00EB235E" w:rsidRPr="00E42E06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Gwarancja karty sieciowej: min. 3 lata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lastRenderedPageBreak/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lastRenderedPageBreak/>
              <w:t>Gniazda PCI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5 Gniazd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Gen 4.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Interfejsy USB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1A5" w:rsidRPr="00EA127B" w:rsidRDefault="006371A5" w:rsidP="006371A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EA127B">
              <w:rPr>
                <w:rFonts w:ascii="Calibri" w:hAnsi="Calibri" w:cs="Calibri"/>
                <w:b/>
                <w:color w:val="FF0000"/>
              </w:rPr>
              <w:t xml:space="preserve">Min. 2 x </w:t>
            </w:r>
            <w:proofErr w:type="spellStart"/>
            <w:r w:rsidRPr="00EA127B">
              <w:rPr>
                <w:rFonts w:ascii="Calibri" w:hAnsi="Calibri" w:cs="Calibri"/>
                <w:b/>
                <w:color w:val="FF0000"/>
              </w:rPr>
              <w:t>Type</w:t>
            </w:r>
            <w:proofErr w:type="spellEnd"/>
            <w:r w:rsidRPr="00EA127B">
              <w:rPr>
                <w:rFonts w:ascii="Calibri" w:hAnsi="Calibri" w:cs="Calibri"/>
                <w:b/>
                <w:color w:val="FF0000"/>
              </w:rPr>
              <w:t xml:space="preserve">-A USB 3.2 Gen 1 </w:t>
            </w:r>
            <w:r w:rsidR="00F20484">
              <w:rPr>
                <w:rFonts w:ascii="Calibri" w:hAnsi="Calibri" w:cs="Calibri"/>
                <w:b/>
                <w:color w:val="FF0000"/>
              </w:rPr>
              <w:t>5</w:t>
            </w:r>
            <w:bookmarkStart w:id="0" w:name="_GoBack"/>
            <w:bookmarkEnd w:id="0"/>
            <w:r w:rsidRPr="00EA127B">
              <w:rPr>
                <w:rFonts w:ascii="Calibri" w:hAnsi="Calibri" w:cs="Calibri"/>
                <w:b/>
                <w:color w:val="FF0000"/>
              </w:rPr>
              <w:t>Gbps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Zasilacz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1100W PSU (x2), 100-240Vac,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Maks. moc w watach: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1100 W przy 200-240Vac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850 W przy 100-240Vac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Chłodzenie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E42E0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Wentylatory min.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</w:t>
            </w:r>
            <w:r w:rsidRPr="00E42E0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x 60mm, 12VDC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3472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 w:rsidRPr="00076938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Serwer NAS dostarczany wraz z oprogramowaniem:</w:t>
            </w:r>
          </w:p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Specyfikacja</w:t>
            </w:r>
          </w:p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Zdalny dostęp do graficznego interfejsu Web serwera przez wspierane przeglądarki internetowe: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Apple Safari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Google Chrome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Microsoft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Edge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Mozilla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Firefox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Połączenie HTTP/HTTPS: TLS 1.0/1.1/1.2/1.3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Wspierane typy RAID: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Dla 8 zatok i więcej: Single, RAID 0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Stripe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), 1, 5, 6, 10, 50, 60,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Triple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Mirror,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Triple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Parity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Obsługiwane systemy plików:  </w:t>
            </w: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ab/>
              <w:t>ZFS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internal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drive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), EXT3, EXT4, NTFS, FAT32, HFS+, and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exFAT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external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drive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Serwery plików: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Wymiana plików pomiędzy Windows, Mac, and Linux/UNIX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CIFS/SMB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AFP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NFS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Wbudowane funkcje: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Disk S.M.A.R.T. Scan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SSD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Trim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Virtual Switch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Port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trunking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DHCP Server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Firewall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VLAN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lastRenderedPageBreak/>
              <w:t>Weryfikacja dwu-etapowa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Uruchamianie maszyn wirtualnych (Microsoft Windows oraz Linux) oraz kontenerów (LXD,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Docker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, Kata)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Certyfikaty: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VMware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vSphere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Ready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Windows Server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certifcated</w:t>
            </w:r>
            <w:proofErr w:type="spellEnd"/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Citrix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Ready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lastRenderedPageBreak/>
              <w:t>Spełnia/nie spełnia</w:t>
            </w:r>
          </w:p>
        </w:tc>
      </w:tr>
      <w:tr w:rsidR="00EB235E" w:rsidRPr="00751E9D" w:rsidTr="00066DB3">
        <w:trPr>
          <w:trHeight w:val="3472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 w:rsidRPr="00F45EEF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lastRenderedPageBreak/>
              <w:t>Moduły / wkładki światłowodowe wielomodowe zapewniające prawidłowe działanie urządzenia zgodne z listą kompatybilności producenta urządzenia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C23C17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</w:t>
            </w:r>
            <w:r w:rsidRPr="00C23C17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wkładki 25 Gigabit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Q</w:t>
            </w:r>
            <w:r w:rsidRPr="00C23C17">
              <w:rPr>
                <w:rFonts w:ascii="Calibri" w:eastAsia="Calibri" w:hAnsi="Calibri" w:cs="Times New Roman"/>
                <w:kern w:val="2"/>
                <w14:ligatures w14:val="standardContextual"/>
              </w:rPr>
              <w:t>SFP28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Pr="00076938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829B4" w:rsidP="00066D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</w:tbl>
    <w:p w:rsidR="00EB235E" w:rsidRPr="0049345E" w:rsidRDefault="00EB235E" w:rsidP="00EB235E">
      <w:pPr>
        <w:pStyle w:val="Nagwek"/>
        <w:jc w:val="center"/>
        <w:rPr>
          <w:b/>
          <w:sz w:val="20"/>
          <w:szCs w:val="20"/>
        </w:rPr>
      </w:pPr>
      <w:r w:rsidRPr="0049345E">
        <w:rPr>
          <w:b/>
          <w:sz w:val="20"/>
          <w:szCs w:val="20"/>
        </w:rPr>
        <w:lastRenderedPageBreak/>
        <w:t>Opis przedmiotu zamówienia</w:t>
      </w:r>
      <w:r>
        <w:rPr>
          <w:rFonts w:cstheme="minorHAnsi"/>
          <w:b/>
          <w:sz w:val="20"/>
          <w:szCs w:val="20"/>
        </w:rPr>
        <w:t xml:space="preserve"> </w:t>
      </w:r>
      <w:r w:rsidRPr="0049345E">
        <w:rPr>
          <w:b/>
          <w:sz w:val="20"/>
          <w:szCs w:val="20"/>
        </w:rPr>
        <w:t>– Serwer NAS z funkcją wirtualizacji - ilość 1 szt.</w:t>
      </w:r>
    </w:p>
    <w:p w:rsidR="00EB235E" w:rsidRPr="0049345E" w:rsidRDefault="00EB235E" w:rsidP="00EB235E">
      <w:pPr>
        <w:jc w:val="center"/>
        <w:rPr>
          <w:rFonts w:cstheme="minorHAnsi"/>
          <w:b/>
        </w:rPr>
      </w:pPr>
      <w:r w:rsidRPr="0049345E">
        <w:rPr>
          <w:rFonts w:cstheme="minorHAnsi"/>
          <w:b/>
        </w:rPr>
        <w:t>Typ/ model/ producent:………………………………………………………………………………</w:t>
      </w:r>
    </w:p>
    <w:p w:rsidR="00EB235E" w:rsidRPr="00C80843" w:rsidRDefault="00EB235E" w:rsidP="00EB235E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C80843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 xml:space="preserve">Inne uwagi: </w:t>
      </w:r>
    </w:p>
    <w:p w:rsidR="00EB235E" w:rsidRPr="00C80843" w:rsidRDefault="00EB235E" w:rsidP="00EB235E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C80843">
        <w:rPr>
          <w:rFonts w:ascii="Calibri" w:eastAsia="Times New Roman" w:hAnsi="Calibri" w:cs="Calibri"/>
          <w:sz w:val="20"/>
          <w:szCs w:val="20"/>
          <w:lang w:eastAsia="zh-CN"/>
        </w:rPr>
        <w:t>Testy wydajnościowe dotyczą wydajności poszczególnych parametrów (</w:t>
      </w:r>
      <w:r w:rsidR="00B72D1E" w:rsidRPr="00C80843">
        <w:rPr>
          <w:rFonts w:ascii="Calibri" w:eastAsia="Times New Roman" w:hAnsi="Calibri" w:cs="Calibri"/>
          <w:sz w:val="20"/>
          <w:szCs w:val="20"/>
          <w:lang w:eastAsia="zh-CN"/>
        </w:rPr>
        <w:t xml:space="preserve">np. </w:t>
      </w:r>
      <w:r w:rsidRPr="00C80843">
        <w:rPr>
          <w:rFonts w:ascii="Calibri" w:eastAsia="Times New Roman" w:hAnsi="Calibri" w:cs="Calibri"/>
          <w:sz w:val="20"/>
          <w:szCs w:val="20"/>
          <w:lang w:eastAsia="zh-CN"/>
        </w:rPr>
        <w:t xml:space="preserve">procesora) i nie odnoszą się do wydajności komputera jako całości. Wydajność komputera może się różnić w zależności od zastosowanych elementów składowych. Wydajność całkowita komputera nie stanowi kryterium oceny danej oferty.  </w:t>
      </w:r>
    </w:p>
    <w:p w:rsidR="00EB235E" w:rsidRDefault="00EB235E" w:rsidP="00EB235E">
      <w:pPr>
        <w:jc w:val="both"/>
        <w:rPr>
          <w:rFonts w:cstheme="minorHAnsi"/>
          <w:sz w:val="24"/>
          <w:szCs w:val="24"/>
        </w:rPr>
      </w:pPr>
    </w:p>
    <w:p w:rsidR="00EB235E" w:rsidRDefault="00EB235E" w:rsidP="00EB235E">
      <w:pPr>
        <w:jc w:val="both"/>
        <w:rPr>
          <w:rFonts w:cstheme="minorHAnsi"/>
          <w:sz w:val="24"/>
          <w:szCs w:val="24"/>
        </w:rPr>
      </w:pPr>
    </w:p>
    <w:p w:rsidR="00EB235E" w:rsidRPr="005E21C7" w:rsidRDefault="00EB235E" w:rsidP="00EB235E">
      <w:pPr>
        <w:jc w:val="right"/>
        <w:rPr>
          <w:rFonts w:cstheme="minorHAnsi"/>
        </w:rPr>
      </w:pPr>
      <w:r w:rsidRPr="005E21C7">
        <w:rPr>
          <w:rFonts w:cstheme="minorHAnsi"/>
        </w:rPr>
        <w:t>Wykonawca:</w:t>
      </w:r>
    </w:p>
    <w:p w:rsidR="00EB235E" w:rsidRPr="005E21C7" w:rsidRDefault="00EB235E" w:rsidP="00EB235E">
      <w:pPr>
        <w:jc w:val="right"/>
        <w:rPr>
          <w:rFonts w:cstheme="minorHAnsi"/>
        </w:rPr>
      </w:pPr>
    </w:p>
    <w:p w:rsidR="00EB235E" w:rsidRPr="004F1865" w:rsidRDefault="00EB235E" w:rsidP="00EB235E">
      <w:pPr>
        <w:jc w:val="right"/>
        <w:rPr>
          <w:rFonts w:cstheme="minorHAnsi"/>
          <w:sz w:val="24"/>
          <w:szCs w:val="24"/>
        </w:rPr>
      </w:pPr>
      <w:r w:rsidRPr="005E21C7">
        <w:rPr>
          <w:rFonts w:cstheme="minorHAnsi"/>
        </w:rPr>
        <w:t>…………………………………..</w:t>
      </w:r>
    </w:p>
    <w:p w:rsidR="007763C5" w:rsidRDefault="007763C5"/>
    <w:sectPr w:rsidR="00776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F1" w:rsidRDefault="00CC79F1" w:rsidP="00EB235E">
      <w:pPr>
        <w:spacing w:after="0" w:line="240" w:lineRule="auto"/>
      </w:pPr>
      <w:r>
        <w:separator/>
      </w:r>
    </w:p>
  </w:endnote>
  <w:endnote w:type="continuationSeparator" w:id="0">
    <w:p w:rsidR="00CC79F1" w:rsidRDefault="00CC79F1" w:rsidP="00EB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F1" w:rsidRDefault="00CC79F1" w:rsidP="00EB235E">
      <w:pPr>
        <w:spacing w:after="0" w:line="240" w:lineRule="auto"/>
      </w:pPr>
      <w:r>
        <w:separator/>
      </w:r>
    </w:p>
  </w:footnote>
  <w:footnote w:type="continuationSeparator" w:id="0">
    <w:p w:rsidR="00CC79F1" w:rsidRDefault="00CC79F1" w:rsidP="00EB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5E" w:rsidRDefault="00ED240A" w:rsidP="00EB235E">
    <w:pPr>
      <w:pStyle w:val="Nagwek"/>
      <w:jc w:val="center"/>
    </w:pPr>
    <w:proofErr w:type="spellStart"/>
    <w:r>
      <w:t>ZMIENIONY_</w:t>
    </w:r>
    <w:r w:rsidR="00EB235E">
      <w:t>Załącznik</w:t>
    </w:r>
    <w:proofErr w:type="spellEnd"/>
    <w:r w:rsidR="00EB235E">
      <w:t xml:space="preserve"> nr 1.5 do projektowanych postanowień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CF"/>
    <w:rsid w:val="003223E1"/>
    <w:rsid w:val="00414A84"/>
    <w:rsid w:val="005054E1"/>
    <w:rsid w:val="006371A5"/>
    <w:rsid w:val="007763C5"/>
    <w:rsid w:val="00AC7AC8"/>
    <w:rsid w:val="00B4178A"/>
    <w:rsid w:val="00B72D1E"/>
    <w:rsid w:val="00C80843"/>
    <w:rsid w:val="00CC79F1"/>
    <w:rsid w:val="00D576CF"/>
    <w:rsid w:val="00E829B4"/>
    <w:rsid w:val="00EB235E"/>
    <w:rsid w:val="00ED240A"/>
    <w:rsid w:val="00F20484"/>
    <w:rsid w:val="00F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38D6-242B-4254-A3EA-E4B788F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B23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35E"/>
  </w:style>
  <w:style w:type="paragraph" w:styleId="Stopka">
    <w:name w:val="footer"/>
    <w:basedOn w:val="Normalny"/>
    <w:link w:val="StopkaZnak"/>
    <w:uiPriority w:val="99"/>
    <w:unhideWhenUsed/>
    <w:rsid w:val="00EB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35E"/>
  </w:style>
  <w:style w:type="paragraph" w:styleId="Tekstdymka">
    <w:name w:val="Balloon Text"/>
    <w:basedOn w:val="Normalny"/>
    <w:link w:val="TekstdymkaZnak"/>
    <w:uiPriority w:val="99"/>
    <w:semiHidden/>
    <w:unhideWhenUsed/>
    <w:rsid w:val="00ED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Andruszkiewicz</dc:creator>
  <cp:keywords/>
  <dc:description/>
  <cp:lastModifiedBy>Monika Andruszkiewicz</cp:lastModifiedBy>
  <cp:revision>9</cp:revision>
  <cp:lastPrinted>2024-10-14T08:44:00Z</cp:lastPrinted>
  <dcterms:created xsi:type="dcterms:W3CDTF">2024-10-08T07:40:00Z</dcterms:created>
  <dcterms:modified xsi:type="dcterms:W3CDTF">2024-10-14T08:44:00Z</dcterms:modified>
</cp:coreProperties>
</file>