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7DE1" w:rsidRPr="00806005" w:rsidRDefault="00BD7DE1" w:rsidP="00BD7DE1">
      <w:pPr>
        <w:shd w:val="clear" w:color="auto" w:fill="FFFFFF"/>
        <w:ind w:left="450"/>
        <w:jc w:val="right"/>
        <w:rPr>
          <w:b/>
          <w:sz w:val="18"/>
          <w:szCs w:val="18"/>
        </w:rPr>
      </w:pPr>
    </w:p>
    <w:p w:rsidR="0028559B" w:rsidRPr="00806005" w:rsidRDefault="00FB41FE" w:rsidP="0028559B">
      <w:pPr>
        <w:pStyle w:val="Domylne"/>
        <w:shd w:val="clear" w:color="auto" w:fill="FFFFFF" w:themeFill="background1"/>
        <w:spacing w:line="276" w:lineRule="auto"/>
        <w:contextualSpacing/>
        <w:jc w:val="right"/>
        <w:rPr>
          <w:rFonts w:ascii="Times New Roman" w:hAnsi="Times New Roman" w:cs="Times New Roman"/>
          <w:b/>
          <w:bCs/>
          <w:color w:val="auto"/>
          <w:sz w:val="18"/>
          <w:szCs w:val="18"/>
        </w:rPr>
      </w:pPr>
      <w:r w:rsidRPr="00806005">
        <w:rPr>
          <w:rFonts w:ascii="Times New Roman" w:hAnsi="Times New Roman" w:cs="Times New Roman"/>
          <w:b/>
          <w:color w:val="auto"/>
          <w:sz w:val="18"/>
          <w:szCs w:val="18"/>
        </w:rPr>
        <w:t>Załącznik nr 3</w:t>
      </w:r>
      <w:r w:rsidR="0028559B" w:rsidRPr="00806005">
        <w:rPr>
          <w:rFonts w:ascii="Times New Roman" w:hAnsi="Times New Roman" w:cs="Times New Roman"/>
          <w:b/>
          <w:color w:val="auto"/>
          <w:sz w:val="18"/>
          <w:szCs w:val="18"/>
        </w:rPr>
        <w:t xml:space="preserve"> do SIWZ dla zamówienia publicznego na</w:t>
      </w:r>
      <w:r w:rsidR="0028559B" w:rsidRPr="00806005">
        <w:rPr>
          <w:rFonts w:ascii="Times New Roman" w:hAnsi="Times New Roman" w:cs="Times New Roman"/>
          <w:b/>
          <w:color w:val="auto"/>
          <w:sz w:val="18"/>
          <w:szCs w:val="18"/>
        </w:rPr>
        <w:br/>
      </w:r>
      <w:r w:rsidR="0028559B" w:rsidRPr="00806005">
        <w:rPr>
          <w:rFonts w:ascii="Times New Roman" w:hAnsi="Times New Roman" w:cs="Times New Roman"/>
          <w:b/>
          <w:bCs/>
          <w:color w:val="auto"/>
          <w:sz w:val="18"/>
          <w:szCs w:val="18"/>
        </w:rPr>
        <w:t xml:space="preserve">Przebudowę i rozbudowę krytej pływalni miejskiej </w:t>
      </w:r>
      <w:r w:rsidR="0028559B" w:rsidRPr="00806005">
        <w:rPr>
          <w:rFonts w:ascii="Times New Roman" w:hAnsi="Times New Roman" w:cs="Times New Roman"/>
          <w:color w:val="auto"/>
          <w:sz w:val="18"/>
          <w:szCs w:val="18"/>
        </w:rPr>
        <w:br/>
      </w:r>
      <w:r w:rsidR="0028559B" w:rsidRPr="00806005">
        <w:rPr>
          <w:rFonts w:ascii="Times New Roman" w:hAnsi="Times New Roman" w:cs="Times New Roman"/>
          <w:b/>
          <w:bCs/>
          <w:color w:val="auto"/>
          <w:sz w:val="18"/>
          <w:szCs w:val="18"/>
        </w:rPr>
        <w:t xml:space="preserve">znajdującej się w Ośrodku Sportu i Rekreacji OSiR Stargard Sp. z o.o. w Stargardzie </w:t>
      </w:r>
      <w:r w:rsidR="003E2C26" w:rsidRPr="00806005">
        <w:rPr>
          <w:rFonts w:ascii="Times New Roman" w:hAnsi="Times New Roman" w:cs="Times New Roman"/>
          <w:b/>
          <w:bCs/>
          <w:color w:val="auto"/>
          <w:sz w:val="18"/>
          <w:szCs w:val="18"/>
        </w:rPr>
        <w:br/>
        <w:t>OS</w:t>
      </w:r>
      <w:r w:rsidR="0028559B" w:rsidRPr="00806005">
        <w:rPr>
          <w:rFonts w:ascii="Times New Roman" w:hAnsi="Times New Roman" w:cs="Times New Roman"/>
          <w:b/>
          <w:bCs/>
          <w:color w:val="auto"/>
          <w:sz w:val="18"/>
          <w:szCs w:val="18"/>
        </w:rPr>
        <w:t>iR/1/2019</w:t>
      </w:r>
    </w:p>
    <w:p w:rsidR="00A22179" w:rsidRPr="00806005" w:rsidRDefault="00A22179" w:rsidP="00D64C13">
      <w:pPr>
        <w:pStyle w:val="Tekstpodstawowy"/>
        <w:rPr>
          <w:sz w:val="22"/>
          <w:szCs w:val="22"/>
        </w:rPr>
      </w:pPr>
      <w:bookmarkStart w:id="0" w:name="_GoBack"/>
      <w:bookmarkEnd w:id="0"/>
    </w:p>
    <w:p w:rsidR="004A453E" w:rsidRPr="00806005" w:rsidRDefault="004A453E" w:rsidP="004A453E">
      <w:pPr>
        <w:pStyle w:val="Tekstkomentarza"/>
        <w:jc w:val="center"/>
        <w:rPr>
          <w:b/>
          <w:i/>
          <w:sz w:val="24"/>
          <w:szCs w:val="24"/>
        </w:rPr>
      </w:pPr>
      <w:r w:rsidRPr="00806005">
        <w:rPr>
          <w:b/>
          <w:i/>
          <w:sz w:val="24"/>
          <w:szCs w:val="24"/>
        </w:rPr>
        <w:t>INSTRUKCJA sporządzania wyceny ofertowej (kosztorysu ofertowego)</w:t>
      </w:r>
    </w:p>
    <w:p w:rsidR="001C5BA9" w:rsidRPr="00806005" w:rsidRDefault="001C5BA9" w:rsidP="004A453E">
      <w:pPr>
        <w:pStyle w:val="Tekstkomentarza"/>
        <w:jc w:val="center"/>
        <w:rPr>
          <w:b/>
          <w:i/>
          <w:sz w:val="22"/>
          <w:szCs w:val="22"/>
        </w:rPr>
      </w:pPr>
    </w:p>
    <w:p w:rsidR="001C5BA9" w:rsidRPr="00806005" w:rsidRDefault="001C5BA9" w:rsidP="001C5BA9">
      <w:pPr>
        <w:numPr>
          <w:ilvl w:val="3"/>
          <w:numId w:val="13"/>
        </w:numPr>
        <w:suppressAutoHyphens/>
        <w:ind w:left="284" w:hanging="284"/>
        <w:jc w:val="both"/>
        <w:rPr>
          <w:sz w:val="22"/>
          <w:szCs w:val="22"/>
        </w:rPr>
      </w:pPr>
      <w:r w:rsidRPr="00806005">
        <w:rPr>
          <w:sz w:val="22"/>
          <w:szCs w:val="22"/>
        </w:rPr>
        <w:t xml:space="preserve">Zamawiający przypomina, że obowiązującym sposobem rozliczenia robót jest </w:t>
      </w:r>
      <w:r w:rsidRPr="00806005">
        <w:rPr>
          <w:b/>
          <w:sz w:val="22"/>
          <w:szCs w:val="22"/>
        </w:rPr>
        <w:t>rozliczenie dokonywane na podstawie kosztorysu powykonawczego</w:t>
      </w:r>
      <w:r w:rsidRPr="00806005">
        <w:rPr>
          <w:sz w:val="22"/>
          <w:szCs w:val="22"/>
        </w:rPr>
        <w:t>. Oznacza to, że:</w:t>
      </w:r>
    </w:p>
    <w:p w:rsidR="001C5BA9" w:rsidRPr="00806005" w:rsidRDefault="001C5BA9" w:rsidP="001C5BA9">
      <w:pPr>
        <w:numPr>
          <w:ilvl w:val="0"/>
          <w:numId w:val="12"/>
        </w:numPr>
        <w:suppressAutoHyphens/>
        <w:jc w:val="both"/>
        <w:rPr>
          <w:sz w:val="22"/>
          <w:szCs w:val="22"/>
        </w:rPr>
      </w:pPr>
      <w:r w:rsidRPr="00806005">
        <w:rPr>
          <w:sz w:val="22"/>
          <w:szCs w:val="22"/>
        </w:rPr>
        <w:t xml:space="preserve">zauważone podczas sporządzania kosztorysu ofertowego niedoszacowania, błędy lub pominięcia przedmiarów robót (kosztorysów ślepych) nie wymagają w każdej sytuacji koniecznie interwencji u Zamawiającego, gdyż finalnie wykonawca otrzyma wynagrodzenie za pominięte lub niedokładnie </w:t>
      </w:r>
      <w:proofErr w:type="spellStart"/>
      <w:r w:rsidRPr="00806005">
        <w:rPr>
          <w:sz w:val="22"/>
          <w:szCs w:val="22"/>
        </w:rPr>
        <w:t>sprzedmiarowane</w:t>
      </w:r>
      <w:proofErr w:type="spellEnd"/>
      <w:r w:rsidRPr="00806005">
        <w:rPr>
          <w:sz w:val="22"/>
          <w:szCs w:val="22"/>
        </w:rPr>
        <w:t xml:space="preserve"> roboty, jeśli w trakcie realizacji zamówienia zostaną one wykonane na zasadach przewidzianych SIWZ;</w:t>
      </w:r>
    </w:p>
    <w:p w:rsidR="001C5BA9" w:rsidRPr="00806005" w:rsidRDefault="001C5BA9" w:rsidP="001C5BA9">
      <w:pPr>
        <w:numPr>
          <w:ilvl w:val="0"/>
          <w:numId w:val="12"/>
        </w:numPr>
        <w:suppressAutoHyphens/>
        <w:jc w:val="both"/>
        <w:rPr>
          <w:sz w:val="22"/>
          <w:szCs w:val="22"/>
        </w:rPr>
      </w:pPr>
      <w:r w:rsidRPr="00806005">
        <w:rPr>
          <w:sz w:val="22"/>
          <w:szCs w:val="22"/>
        </w:rPr>
        <w:t xml:space="preserve">wykonawca ma prawo na etapie sporządzania oferty zgłosić Zamawiającemu zauważone, pominięte roboty, zwłaszcza jeżeli ich waga lub znaczenie jest istotne dla prawidłowej wyceny – jednak, bez wyraźnej dyspozycji Zamawiającego w formie oficjalnej korekty przedmiaru </w:t>
      </w:r>
      <w:r w:rsidRPr="00806005">
        <w:rPr>
          <w:b/>
          <w:sz w:val="22"/>
          <w:szCs w:val="22"/>
          <w:u w:val="single"/>
        </w:rPr>
        <w:t>nie ma prawa samodzielnie zmieniać wycenianego przedmiaru robót poprzez dopisywanie dodatkowych pozycji kosztorysowych lub zmienianie ilości robót.</w:t>
      </w:r>
    </w:p>
    <w:p w:rsidR="001C5BA9" w:rsidRPr="00806005" w:rsidRDefault="001C5BA9" w:rsidP="001C5BA9">
      <w:pPr>
        <w:ind w:left="786"/>
        <w:jc w:val="both"/>
        <w:rPr>
          <w:sz w:val="22"/>
          <w:szCs w:val="22"/>
        </w:rPr>
      </w:pPr>
    </w:p>
    <w:p w:rsidR="001C5BA9" w:rsidRPr="00806005" w:rsidRDefault="001C5BA9" w:rsidP="001C5BA9">
      <w:pPr>
        <w:numPr>
          <w:ilvl w:val="3"/>
          <w:numId w:val="13"/>
        </w:numPr>
        <w:suppressAutoHyphens/>
        <w:ind w:left="284" w:hanging="284"/>
        <w:jc w:val="both"/>
        <w:rPr>
          <w:sz w:val="22"/>
          <w:szCs w:val="22"/>
        </w:rPr>
      </w:pPr>
      <w:r w:rsidRPr="00806005">
        <w:rPr>
          <w:sz w:val="22"/>
          <w:szCs w:val="22"/>
        </w:rPr>
        <w:t xml:space="preserve">Zamawiający informuje, że podane w przedmiarach podstawy wyceny (jeżeli występują) traktuje jako informację pomocniczą dla Wykonawcy. </w:t>
      </w:r>
      <w:r w:rsidRPr="00806005">
        <w:rPr>
          <w:b/>
          <w:sz w:val="22"/>
          <w:szCs w:val="22"/>
        </w:rPr>
        <w:t>Wykonawca (oferent) ma prawo do własnej modyfikacji sposobu kalkulacji elementu robót opisanego daną pozycją przedmiaru</w:t>
      </w:r>
      <w:r w:rsidRPr="00806005">
        <w:rPr>
          <w:sz w:val="22"/>
          <w:szCs w:val="22"/>
        </w:rPr>
        <w:t xml:space="preserve">, odmiennej od oryginału nakładów rzeczowych figurujących w wydawnictwach katalogowych – </w:t>
      </w:r>
      <w:r w:rsidRPr="00806005">
        <w:rPr>
          <w:b/>
          <w:sz w:val="22"/>
          <w:szCs w:val="22"/>
        </w:rPr>
        <w:t>pod warunkiem jednak zachowania ilości przedmiarowych robót</w:t>
      </w:r>
      <w:r w:rsidRPr="00806005">
        <w:rPr>
          <w:sz w:val="22"/>
          <w:szCs w:val="22"/>
        </w:rPr>
        <w:t xml:space="preserve">. Dokonana modyfikacja nie zwalnia Wykonawcy z obowiązku dochowania w trakcie realizacji robót projektowych, materiałowych, jakościowych i normowych wymogów danego elementu robót. Wykonawca może więc np. dokonać korekty nakładów robocizny lub korekty nakładów materiałowych; może dodać lub pominąć sprzęt albo niezbędny (lub zbędny) jego zdaniem materiał. Korekt powyższych Wykonawca może dokonać, jeżeli np. uważa, że podane w pozycji przedmiaru nakłady nie w pełni odzwierciedlają konieczne do poniesienia koszty wykonania danej roboty – mając na względzie, że rozliczenie robót odbywać się będzie w oparciu o ceny jednostkowe kosztorysu ofertowego. </w:t>
      </w:r>
    </w:p>
    <w:p w:rsidR="001C5BA9" w:rsidRPr="00806005" w:rsidRDefault="001C5BA9" w:rsidP="001C5BA9">
      <w:pPr>
        <w:numPr>
          <w:ilvl w:val="3"/>
          <w:numId w:val="13"/>
        </w:numPr>
        <w:suppressAutoHyphens/>
        <w:ind w:left="284" w:hanging="284"/>
        <w:jc w:val="both"/>
        <w:rPr>
          <w:rStyle w:val="ZnakZnak0"/>
          <w:b w:val="0"/>
          <w:sz w:val="22"/>
          <w:szCs w:val="22"/>
        </w:rPr>
      </w:pPr>
      <w:r w:rsidRPr="00806005">
        <w:rPr>
          <w:rStyle w:val="ZnakZnak0"/>
          <w:b w:val="0"/>
          <w:sz w:val="22"/>
          <w:szCs w:val="22"/>
        </w:rPr>
        <w:t>Rozliczenie robót odbywać się będzie w oparciu o cenę jednostkową skalkulowaną przez Wykonawcę. Na etapie badania ofert Zamawiający nie będzie wnikał w szczegółową konstrukcję kalkulacyjną wyceny poszczególnych pozycji z zastrzeżeniem art. 87 i art. 89 ustawy (oraz z zastrzeżeniem p. 8 i 9).</w:t>
      </w:r>
    </w:p>
    <w:p w:rsidR="001C5BA9" w:rsidRPr="00806005" w:rsidRDefault="001C5BA9" w:rsidP="001C5BA9">
      <w:pPr>
        <w:numPr>
          <w:ilvl w:val="3"/>
          <w:numId w:val="13"/>
        </w:numPr>
        <w:suppressAutoHyphens/>
        <w:ind w:left="284" w:hanging="284"/>
        <w:jc w:val="both"/>
        <w:rPr>
          <w:sz w:val="22"/>
          <w:szCs w:val="22"/>
        </w:rPr>
      </w:pPr>
      <w:r w:rsidRPr="00806005">
        <w:rPr>
          <w:b/>
          <w:sz w:val="22"/>
          <w:szCs w:val="22"/>
        </w:rPr>
        <w:t xml:space="preserve">Jeżeli Wykonawca pominie w kosztorysie ofertowym, którąkolwiek z pozycji ujętych w przedmiarze robót – Zamawiający przyjmuje, że Wykonawca wykona prace opisane tą pozycją w ilościach niezbędnych dla wykonania całego zamówienia, a koszty ich wykonania Wykonawca ujął w innych pozycjach kosztorysu ofertowego. </w:t>
      </w:r>
      <w:bookmarkStart w:id="1" w:name="_Hlk507483198"/>
      <w:r w:rsidRPr="00806005">
        <w:rPr>
          <w:b/>
          <w:sz w:val="22"/>
          <w:szCs w:val="22"/>
        </w:rPr>
        <w:t>Pominięcie w kosztorysie pozycji ujętych w przedmiarze robót traktuje się jako sytuację wyjątkową. Zamawiający uznaje, że pominięcie pozycji kosztorysowych o łącznej wartości przekraczającej 10% ceny oferty tak kształtuje treść oferty, że przestaje ona odpowiadać treści SIWZ (istotna zmiana zakresu przedmiotu zamówienia) – co skutkować będzie odrzuceniem oferty na podstawie art. 89 ust. 1 pkt 2 ustawy. Do ustalenia wartości pominiętych pozycji kosztorysowych zamawiający korzystać będzie z wyceny kosztorysu inwestorskiego.</w:t>
      </w:r>
      <w:bookmarkEnd w:id="1"/>
    </w:p>
    <w:p w:rsidR="001C5BA9" w:rsidRPr="00806005" w:rsidRDefault="001C5BA9" w:rsidP="001C5BA9">
      <w:pPr>
        <w:numPr>
          <w:ilvl w:val="3"/>
          <w:numId w:val="13"/>
        </w:numPr>
        <w:suppressAutoHyphens/>
        <w:ind w:left="284" w:hanging="284"/>
        <w:jc w:val="both"/>
        <w:rPr>
          <w:sz w:val="22"/>
          <w:szCs w:val="22"/>
        </w:rPr>
      </w:pPr>
      <w:r w:rsidRPr="00806005">
        <w:rPr>
          <w:b/>
          <w:sz w:val="22"/>
          <w:szCs w:val="22"/>
        </w:rPr>
        <w:t>Kosztorysy ofertowe należy sporządzać w układzie, kolejności i uszczegółowieniu otrzymanych przedmiarów robót (kosztorysów nakładczych)</w:t>
      </w:r>
      <w:r w:rsidRPr="00806005">
        <w:rPr>
          <w:sz w:val="22"/>
          <w:szCs w:val="22"/>
        </w:rPr>
        <w:t>. Nie dopuszcza się możliwości tworzenia dodatkowych pozycji kosztorysu, innych od tych zawartych w przekazanych przedmiarach robót.</w:t>
      </w:r>
    </w:p>
    <w:p w:rsidR="001C5BA9" w:rsidRPr="00806005" w:rsidRDefault="001C5BA9" w:rsidP="001C5BA9">
      <w:pPr>
        <w:numPr>
          <w:ilvl w:val="3"/>
          <w:numId w:val="13"/>
        </w:numPr>
        <w:suppressAutoHyphens/>
        <w:ind w:left="284" w:hanging="284"/>
        <w:jc w:val="both"/>
        <w:rPr>
          <w:sz w:val="22"/>
          <w:szCs w:val="22"/>
        </w:rPr>
      </w:pPr>
      <w:r w:rsidRPr="00806005">
        <w:rPr>
          <w:sz w:val="22"/>
          <w:szCs w:val="22"/>
        </w:rPr>
        <w:t xml:space="preserve">Dla przedmiarów przekazanych w formacie </w:t>
      </w:r>
      <w:r w:rsidRPr="00806005">
        <w:rPr>
          <w:b/>
          <w:sz w:val="22"/>
          <w:szCs w:val="22"/>
        </w:rPr>
        <w:t>.xls</w:t>
      </w:r>
      <w:r w:rsidRPr="00806005">
        <w:rPr>
          <w:sz w:val="22"/>
          <w:szCs w:val="22"/>
        </w:rPr>
        <w:t xml:space="preserve"> </w:t>
      </w:r>
      <w:r w:rsidRPr="00806005">
        <w:rPr>
          <w:sz w:val="22"/>
          <w:szCs w:val="22"/>
          <w:u w:val="single"/>
        </w:rPr>
        <w:t>nie jest wymagana forma szczegółowa kosztorysu</w:t>
      </w:r>
      <w:r w:rsidRPr="00806005">
        <w:rPr>
          <w:sz w:val="22"/>
          <w:szCs w:val="22"/>
        </w:rPr>
        <w:t xml:space="preserve"> oraz nie jest wymagane załączenie zestawienia materiałów i sprzętu – Wykonawca tworząc kosztorys ofertowy wypełnia przedmiar podając jedynie ceny jednostkowe robót wraz z wyliczeniem wartości poszczególnych pozycji kosztorysu. </w:t>
      </w:r>
      <w:r w:rsidRPr="00806005">
        <w:rPr>
          <w:sz w:val="22"/>
          <w:szCs w:val="22"/>
        </w:rPr>
        <w:tab/>
        <w:t xml:space="preserve">Dla przedmiarów przekazanych w </w:t>
      </w:r>
      <w:r w:rsidRPr="00806005">
        <w:rPr>
          <w:b/>
          <w:sz w:val="22"/>
          <w:szCs w:val="22"/>
        </w:rPr>
        <w:t>formacie</w:t>
      </w:r>
      <w:r w:rsidRPr="00806005">
        <w:rPr>
          <w:sz w:val="22"/>
          <w:szCs w:val="22"/>
        </w:rPr>
        <w:t xml:space="preserve">. </w:t>
      </w:r>
      <w:proofErr w:type="spellStart"/>
      <w:r w:rsidRPr="00806005">
        <w:rPr>
          <w:sz w:val="22"/>
          <w:szCs w:val="22"/>
        </w:rPr>
        <w:t>ath</w:t>
      </w:r>
      <w:proofErr w:type="spellEnd"/>
      <w:r w:rsidRPr="00806005">
        <w:rPr>
          <w:b/>
          <w:sz w:val="22"/>
          <w:szCs w:val="22"/>
        </w:rPr>
        <w:t xml:space="preserve"> </w:t>
      </w:r>
      <w:r w:rsidRPr="00806005">
        <w:rPr>
          <w:b/>
          <w:sz w:val="22"/>
          <w:szCs w:val="22"/>
          <w:u w:val="single"/>
        </w:rPr>
        <w:t>wymagana jest forma szczegółowa kosztorysu ofertowego oraz wymagane jest załączenie zestawienia materiałów i sprzętu.</w:t>
      </w:r>
      <w:r w:rsidRPr="00806005">
        <w:rPr>
          <w:sz w:val="22"/>
          <w:szCs w:val="22"/>
        </w:rPr>
        <w:t xml:space="preserve"> Jeżeli Wykonawca załączy do oferty kosztorysy ofertowe sporządzone na bazie przedmiarów (kosztorysów ślepych) udostępnionych w ramach materiałów przetargowych w formacie. </w:t>
      </w:r>
      <w:proofErr w:type="spellStart"/>
      <w:r w:rsidRPr="00806005">
        <w:rPr>
          <w:sz w:val="22"/>
          <w:szCs w:val="22"/>
        </w:rPr>
        <w:t>ath</w:t>
      </w:r>
      <w:proofErr w:type="spellEnd"/>
      <w:r w:rsidRPr="00806005">
        <w:rPr>
          <w:sz w:val="22"/>
          <w:szCs w:val="22"/>
        </w:rPr>
        <w:t xml:space="preserve"> jedynie w formie uproszczonej – Zamawiający zastrzega sobie prawo </w:t>
      </w:r>
      <w:r w:rsidRPr="00806005">
        <w:rPr>
          <w:b/>
          <w:sz w:val="22"/>
          <w:szCs w:val="22"/>
        </w:rPr>
        <w:t xml:space="preserve">żądać od Wykonawcy kosztorysów w formie szczegółowej (rozwiniętej) </w:t>
      </w:r>
      <w:r w:rsidRPr="00806005">
        <w:rPr>
          <w:b/>
          <w:sz w:val="22"/>
          <w:szCs w:val="22"/>
        </w:rPr>
        <w:lastRenderedPageBreak/>
        <w:t xml:space="preserve">wraz z zestawieniami materiałów i sprzętu – pod rygorem odrzucenia oferty </w:t>
      </w:r>
      <w:r w:rsidRPr="00806005">
        <w:rPr>
          <w:sz w:val="22"/>
          <w:szCs w:val="22"/>
        </w:rPr>
        <w:t xml:space="preserve">(dotyczy to szczególnie Wykonawcy, którego oferta zostanie wstępnie oceniona jako najkorzystniejsza). Zamawiający może zażądać kosztorysów w formie elektronicznej (pliki. </w:t>
      </w:r>
      <w:proofErr w:type="spellStart"/>
      <w:r w:rsidRPr="00806005">
        <w:rPr>
          <w:sz w:val="22"/>
          <w:szCs w:val="22"/>
        </w:rPr>
        <w:t>ath</w:t>
      </w:r>
      <w:proofErr w:type="spellEnd"/>
      <w:r w:rsidRPr="00806005">
        <w:rPr>
          <w:sz w:val="22"/>
          <w:szCs w:val="22"/>
        </w:rPr>
        <w:t xml:space="preserve"> lub .xls).</w:t>
      </w:r>
    </w:p>
    <w:p w:rsidR="001C5BA9" w:rsidRPr="00806005" w:rsidRDefault="001C5BA9" w:rsidP="001C5BA9">
      <w:pPr>
        <w:numPr>
          <w:ilvl w:val="3"/>
          <w:numId w:val="13"/>
        </w:numPr>
        <w:suppressAutoHyphens/>
        <w:ind w:left="284" w:hanging="284"/>
        <w:jc w:val="both"/>
        <w:rPr>
          <w:sz w:val="22"/>
          <w:szCs w:val="22"/>
        </w:rPr>
      </w:pPr>
      <w:r w:rsidRPr="00806005">
        <w:rPr>
          <w:sz w:val="22"/>
          <w:szCs w:val="22"/>
        </w:rPr>
        <w:t xml:space="preserve">Przy wycenie poszczególnych pozycji </w:t>
      </w:r>
      <w:r w:rsidRPr="00806005">
        <w:rPr>
          <w:b/>
          <w:sz w:val="22"/>
          <w:szCs w:val="22"/>
        </w:rPr>
        <w:t>należy</w:t>
      </w:r>
      <w:r w:rsidRPr="00806005">
        <w:rPr>
          <w:sz w:val="22"/>
          <w:szCs w:val="22"/>
        </w:rPr>
        <w:t xml:space="preserve"> oprócz opisu i nazewnictwa materiału zawartego w danej pozycji przedmiaru robót </w:t>
      </w:r>
      <w:r w:rsidRPr="00806005">
        <w:rPr>
          <w:b/>
          <w:sz w:val="22"/>
          <w:szCs w:val="22"/>
        </w:rPr>
        <w:t>uwzględniać również uszczegóławiające zapisy projektu budowlanego lub wykonawczego, w tym opisu technicznego</w:t>
      </w:r>
      <w:r w:rsidRPr="00806005">
        <w:rPr>
          <w:sz w:val="22"/>
          <w:szCs w:val="22"/>
        </w:rPr>
        <w:t>. Jeśli np. w przedmiarze widnieje nazwa „zaprawa”, a z dokumentacji projektowej wynika, że należy zastosować zaprawę specjalistyczną systemową Zamawiający wymagać będzie zastosowanie takiej zaprawy w cenie podanej w kosztorysie ofertowym nawet w sytuacji, jeśli Wykonawca do wyceny posłużył się ceną konwencjonalnej, niespecjalistycznej zaprawy.</w:t>
      </w:r>
    </w:p>
    <w:p w:rsidR="001C5BA9" w:rsidRPr="00806005" w:rsidRDefault="001C5BA9" w:rsidP="001C5BA9">
      <w:pPr>
        <w:numPr>
          <w:ilvl w:val="3"/>
          <w:numId w:val="13"/>
        </w:numPr>
        <w:suppressAutoHyphens/>
        <w:ind w:left="284" w:hanging="284"/>
        <w:jc w:val="both"/>
        <w:rPr>
          <w:sz w:val="22"/>
          <w:szCs w:val="22"/>
        </w:rPr>
      </w:pPr>
      <w:r w:rsidRPr="00806005">
        <w:rPr>
          <w:b/>
          <w:sz w:val="22"/>
          <w:szCs w:val="22"/>
        </w:rPr>
        <w:t xml:space="preserve">Wszelkie inne elementy wynagrodzenia za czynności nie ujęte w przedmiarach robót, w tym czynności nie będące robotami budowlanymi, które są niezbędne dla wykonania zamówienia (w tym wszystkie koszty wynikające z cz. I Przedmiot zamówienia p. 5 - „Pozostałe obowiązki Wykonawcy”) Wykonawca uwzględnia w ogólnej Cenie ofertowej wykazanej w formularzu ofertowym, a na poziomie kosztorysów ofertowych  – </w:t>
      </w:r>
      <w:r w:rsidRPr="00806005">
        <w:rPr>
          <w:b/>
          <w:sz w:val="22"/>
          <w:szCs w:val="22"/>
          <w:u w:val="single"/>
        </w:rPr>
        <w:t>w kosztach poszczególnych, powiązanych z tymi czynnościami i obowiązkami, robót ujętych w przedmiarach.</w:t>
      </w:r>
    </w:p>
    <w:p w:rsidR="001C5BA9" w:rsidRPr="00806005" w:rsidRDefault="001C5BA9" w:rsidP="001C5BA9">
      <w:pPr>
        <w:numPr>
          <w:ilvl w:val="3"/>
          <w:numId w:val="13"/>
        </w:numPr>
        <w:suppressAutoHyphens/>
        <w:ind w:left="284" w:hanging="284"/>
        <w:jc w:val="both"/>
        <w:rPr>
          <w:sz w:val="22"/>
          <w:szCs w:val="22"/>
        </w:rPr>
      </w:pPr>
      <w:r w:rsidRPr="00806005">
        <w:rPr>
          <w:b/>
          <w:sz w:val="22"/>
          <w:szCs w:val="22"/>
        </w:rPr>
        <w:t>Nie dopuszcza się przenoszenia części kosztów pomiędzy poszczególnymi pozycjami kosztorysu ofertowego</w:t>
      </w:r>
      <w:r w:rsidRPr="00806005">
        <w:rPr>
          <w:sz w:val="22"/>
          <w:szCs w:val="22"/>
        </w:rPr>
        <w:t xml:space="preserve"> (poszczególnymi cenami jednostkowymi). Niedopuszczalne jest celowe zawyżanie jednej ceny jednostkowej/pozycji kosztorysu kosztem innej.  Wykonawca jest zobowiązany wyceniać ceny jednostkowe w zakresie wynikającym z dokumentacji projektowej </w:t>
      </w:r>
      <w:r w:rsidRPr="00806005">
        <w:rPr>
          <w:b/>
          <w:sz w:val="22"/>
          <w:szCs w:val="22"/>
        </w:rPr>
        <w:t>w zakresie adekwatnym do danego asortymentu robót</w:t>
      </w:r>
      <w:r w:rsidRPr="00806005">
        <w:rPr>
          <w:sz w:val="22"/>
          <w:szCs w:val="22"/>
        </w:rPr>
        <w:t xml:space="preserve"> (należy wyceniać tylko te roboty/prace/czynności przyporządkowane technologicznie danej pozycji – z zastrzeżeniem jedynie punktu 8). Niedopuszczalne jest też przenoszenie tzw. kosztów ogólnych całego przedsięwzięcia do jednej lub paru wybranych pozycji. Koszty ogólne ze swej natury powinny być ujmowane we wszystkich pozycjach kosztorysu ofertowego proporcjonalnie do ich wartości netto.</w:t>
      </w:r>
    </w:p>
    <w:p w:rsidR="001C5BA9" w:rsidRPr="00806005" w:rsidRDefault="001C5BA9" w:rsidP="001C5BA9">
      <w:pPr>
        <w:numPr>
          <w:ilvl w:val="3"/>
          <w:numId w:val="13"/>
        </w:numPr>
        <w:suppressAutoHyphens/>
        <w:ind w:left="284" w:hanging="284"/>
        <w:jc w:val="both"/>
        <w:rPr>
          <w:sz w:val="22"/>
          <w:szCs w:val="22"/>
        </w:rPr>
      </w:pPr>
      <w:r w:rsidRPr="00806005">
        <w:rPr>
          <w:sz w:val="22"/>
          <w:szCs w:val="22"/>
        </w:rPr>
        <w:t xml:space="preserve">Niezłożenie w ofercie kosztorysu ofertowego skutkuje </w:t>
      </w:r>
      <w:r w:rsidRPr="00806005">
        <w:rPr>
          <w:b/>
          <w:sz w:val="22"/>
          <w:szCs w:val="22"/>
        </w:rPr>
        <w:t>odrzuceniem oferty</w:t>
      </w:r>
      <w:r w:rsidRPr="00806005">
        <w:rPr>
          <w:sz w:val="22"/>
          <w:szCs w:val="22"/>
        </w:rPr>
        <w:t xml:space="preserve"> na podstawie art.89 ust. 1 p.2 ustawy. Nie jest możliwe uzupełnienie oferty o kosztorys ofertowy w trybie art. 26 ust. 3 ustawy.</w:t>
      </w:r>
    </w:p>
    <w:p w:rsidR="001C5BA9" w:rsidRPr="00806005" w:rsidRDefault="001C5BA9" w:rsidP="001C5BA9">
      <w:pPr>
        <w:pStyle w:val="Akapitzlist"/>
        <w:rPr>
          <w:sz w:val="22"/>
          <w:szCs w:val="22"/>
        </w:rPr>
      </w:pPr>
    </w:p>
    <w:p w:rsidR="001C5BA9" w:rsidRPr="00806005" w:rsidRDefault="001C5BA9" w:rsidP="001C5BA9">
      <w:pPr>
        <w:numPr>
          <w:ilvl w:val="3"/>
          <w:numId w:val="13"/>
        </w:numPr>
        <w:suppressAutoHyphens/>
        <w:ind w:left="426" w:hanging="426"/>
        <w:jc w:val="both"/>
        <w:rPr>
          <w:sz w:val="22"/>
          <w:szCs w:val="22"/>
        </w:rPr>
      </w:pPr>
      <w:bookmarkStart w:id="2" w:name="_Hlk493068174"/>
      <w:r w:rsidRPr="00806005">
        <w:rPr>
          <w:b/>
          <w:sz w:val="22"/>
          <w:szCs w:val="22"/>
        </w:rPr>
        <w:t>MATERIAŁY I URZĄDZENIA</w:t>
      </w:r>
    </w:p>
    <w:p w:rsidR="001C5BA9" w:rsidRPr="00806005" w:rsidRDefault="001C5BA9" w:rsidP="001C5BA9">
      <w:pPr>
        <w:numPr>
          <w:ilvl w:val="1"/>
          <w:numId w:val="11"/>
        </w:numPr>
        <w:tabs>
          <w:tab w:val="clear" w:pos="1800"/>
          <w:tab w:val="num" w:pos="709"/>
        </w:tabs>
        <w:suppressAutoHyphens/>
        <w:ind w:left="709" w:hanging="283"/>
        <w:jc w:val="both"/>
        <w:rPr>
          <w:sz w:val="22"/>
          <w:szCs w:val="22"/>
        </w:rPr>
      </w:pPr>
      <w:r w:rsidRPr="00806005">
        <w:rPr>
          <w:sz w:val="22"/>
          <w:szCs w:val="22"/>
        </w:rPr>
        <w:t xml:space="preserve">Zgodnie z art. 29 ustawy przedmiot zamówienia opisuje się w sposób </w:t>
      </w:r>
      <w:r w:rsidRPr="00806005">
        <w:rPr>
          <w:b/>
          <w:sz w:val="22"/>
          <w:szCs w:val="22"/>
        </w:rPr>
        <w:t>jednoznaczny i wyczerpujący, za pomocą dostatecznie dokładnych i zrozumiałych określeń</w:t>
      </w:r>
      <w:r w:rsidRPr="00806005">
        <w:rPr>
          <w:sz w:val="22"/>
          <w:szCs w:val="22"/>
        </w:rPr>
        <w:t>, uwzględniając wszystkie wymagania i okoliczności mogące mieć wpływ na sporządzenie oferty, a w uzasadnionych przypadkach przedmiot zamówienia można opisać przez wskazanie, dobranego przez projektanta, konkretnego materiału opatrzonego znakiem towarowym,</w:t>
      </w:r>
    </w:p>
    <w:p w:rsidR="001C5BA9" w:rsidRPr="00806005" w:rsidRDefault="001C5BA9" w:rsidP="001C5BA9">
      <w:pPr>
        <w:numPr>
          <w:ilvl w:val="1"/>
          <w:numId w:val="11"/>
        </w:numPr>
        <w:tabs>
          <w:tab w:val="clear" w:pos="1800"/>
          <w:tab w:val="num" w:pos="709"/>
        </w:tabs>
        <w:suppressAutoHyphens/>
        <w:ind w:left="709" w:hanging="283"/>
        <w:jc w:val="both"/>
        <w:rPr>
          <w:sz w:val="22"/>
          <w:szCs w:val="22"/>
        </w:rPr>
      </w:pPr>
      <w:r w:rsidRPr="00806005">
        <w:rPr>
          <w:sz w:val="22"/>
          <w:szCs w:val="22"/>
        </w:rPr>
        <w:t xml:space="preserve">Zastosowanie w dokumentacji i przedmiarach robót nazw systemowych i producenckich poszczególnych materiałów (o ile występują) należy traktować jako podanie przykładowych propozycji materiałowych, które każdorazowo należy czytać z dopiskiem </w:t>
      </w:r>
      <w:r w:rsidRPr="00806005">
        <w:rPr>
          <w:b/>
          <w:sz w:val="22"/>
          <w:szCs w:val="22"/>
        </w:rPr>
        <w:t xml:space="preserve">„lub inne równoważne o </w:t>
      </w:r>
      <w:proofErr w:type="spellStart"/>
      <w:r w:rsidRPr="00806005">
        <w:rPr>
          <w:b/>
          <w:sz w:val="22"/>
          <w:szCs w:val="22"/>
        </w:rPr>
        <w:t>niegorszych</w:t>
      </w:r>
      <w:proofErr w:type="spellEnd"/>
      <w:r w:rsidRPr="00806005">
        <w:rPr>
          <w:b/>
          <w:sz w:val="22"/>
          <w:szCs w:val="22"/>
        </w:rPr>
        <w:t xml:space="preserve"> parametrach”</w:t>
      </w:r>
      <w:r w:rsidRPr="00806005">
        <w:rPr>
          <w:sz w:val="22"/>
          <w:szCs w:val="22"/>
        </w:rPr>
        <w:t xml:space="preserve">. Podanie konkretnych (jeżeli występują) nazw materiałowych stanowi wyznacznik pożądanego standardu i jakości materiałów, które zostaną zastosowane do realizacji zamówienia - wskazanie takie stanowi wyłącznie wzorzec jakościowy przedmiotu zamówienia. Operowanie przykładowymi nazwami producenta ma jedynie na celu doprecyzowanie poziomu oczekiwań Zamawiającego w stosunku do określonego rozwiązania. Zatem posługiwanie się nazwami własnymi ma w głównej mierze charakter przykładowy. W przypadku stosowania materiałów równoważnych ich parametry techniczne, walory użytkowe i estetyczne i standard jakościowy </w:t>
      </w:r>
      <w:r w:rsidRPr="00806005">
        <w:rPr>
          <w:b/>
          <w:sz w:val="22"/>
          <w:szCs w:val="22"/>
        </w:rPr>
        <w:t>mają być co najmniej równe lub lepsze od materiałów wskazanych w materiałach przetargowych</w:t>
      </w:r>
      <w:r w:rsidRPr="00806005">
        <w:rPr>
          <w:sz w:val="22"/>
          <w:szCs w:val="22"/>
        </w:rPr>
        <w:t xml:space="preserve"> – pod rygorem </w:t>
      </w:r>
      <w:proofErr w:type="spellStart"/>
      <w:r w:rsidRPr="00806005">
        <w:rPr>
          <w:sz w:val="22"/>
          <w:szCs w:val="22"/>
        </w:rPr>
        <w:t>niezezwolenia</w:t>
      </w:r>
      <w:proofErr w:type="spellEnd"/>
      <w:r w:rsidRPr="00806005">
        <w:rPr>
          <w:sz w:val="22"/>
          <w:szCs w:val="22"/>
        </w:rPr>
        <w:t xml:space="preserve"> na ich wbudowanie. Dla oceny równoważności parametrów technicznych należy stosować „warunki równoważności” poszczególnych materiałów podane w materiałach przetargowych, informacje o wymaganiach danego materiału określone w Specyfikacjach Technicznych oraz pomocniczo dane zawarte w ogólnodostępnych źródłach, katalogach, stronach internetowych, kartach technologiczno-informacyjnych producenta poszczególnych materiałów. To Wykonawca musi wykazać, że proponowany zamienny materiał jest </w:t>
      </w:r>
      <w:r w:rsidRPr="00806005">
        <w:rPr>
          <w:b/>
          <w:sz w:val="22"/>
          <w:szCs w:val="22"/>
        </w:rPr>
        <w:t>co najmniej równy lub lepszy</w:t>
      </w:r>
      <w:r w:rsidRPr="00806005">
        <w:rPr>
          <w:sz w:val="22"/>
          <w:szCs w:val="22"/>
        </w:rPr>
        <w:t xml:space="preserve"> od materiałów (urządzeń) zaprojektowanych,</w:t>
      </w:r>
    </w:p>
    <w:p w:rsidR="001C5BA9" w:rsidRPr="00806005" w:rsidRDefault="001C5BA9" w:rsidP="001C5BA9">
      <w:pPr>
        <w:numPr>
          <w:ilvl w:val="1"/>
          <w:numId w:val="11"/>
        </w:numPr>
        <w:tabs>
          <w:tab w:val="clear" w:pos="1800"/>
          <w:tab w:val="num" w:pos="709"/>
        </w:tabs>
        <w:suppressAutoHyphens/>
        <w:ind w:left="709" w:hanging="283"/>
        <w:jc w:val="both"/>
        <w:rPr>
          <w:sz w:val="22"/>
          <w:szCs w:val="22"/>
        </w:rPr>
      </w:pPr>
      <w:r w:rsidRPr="00806005">
        <w:rPr>
          <w:b/>
          <w:sz w:val="22"/>
          <w:szCs w:val="22"/>
        </w:rPr>
        <w:t>Wykonawca</w:t>
      </w:r>
      <w:r w:rsidRPr="00806005">
        <w:rPr>
          <w:sz w:val="22"/>
          <w:szCs w:val="22"/>
        </w:rPr>
        <w:t xml:space="preserve">, który zamierza zaoferować, a tym samym zastosować do wyceny materiał lub urządzenie inne niż określony w dokumentacji projektowo-kosztorysowej z użyciem nazwy własnej handlowej materiał lub urządzenie, </w:t>
      </w:r>
      <w:r w:rsidRPr="00806005">
        <w:rPr>
          <w:b/>
          <w:sz w:val="22"/>
          <w:szCs w:val="22"/>
        </w:rPr>
        <w:t xml:space="preserve">zobowiązany jest do wykazania tego materiału </w:t>
      </w:r>
      <w:r w:rsidRPr="00806005">
        <w:rPr>
          <w:b/>
          <w:sz w:val="22"/>
          <w:szCs w:val="22"/>
        </w:rPr>
        <w:lastRenderedPageBreak/>
        <w:t xml:space="preserve">w </w:t>
      </w:r>
      <w:r w:rsidRPr="00806005">
        <w:rPr>
          <w:b/>
          <w:bCs/>
          <w:sz w:val="22"/>
          <w:szCs w:val="22"/>
        </w:rPr>
        <w:t xml:space="preserve">oświadczeniu o zastosowaniu materiałów, produktów i rozwiązań równoważnych </w:t>
      </w:r>
      <w:r w:rsidRPr="00806005">
        <w:rPr>
          <w:b/>
          <w:sz w:val="22"/>
          <w:szCs w:val="22"/>
        </w:rPr>
        <w:t>podając szczegółowe dane identyfikujące zamieniany i oferowany materiał/urządzenie</w:t>
      </w:r>
    </w:p>
    <w:p w:rsidR="001C5BA9" w:rsidRPr="00806005" w:rsidRDefault="001C5BA9" w:rsidP="001C5BA9">
      <w:pPr>
        <w:numPr>
          <w:ilvl w:val="1"/>
          <w:numId w:val="11"/>
        </w:numPr>
        <w:tabs>
          <w:tab w:val="clear" w:pos="1800"/>
          <w:tab w:val="num" w:pos="709"/>
        </w:tabs>
        <w:suppressAutoHyphens/>
        <w:ind w:left="709" w:hanging="283"/>
        <w:jc w:val="both"/>
        <w:rPr>
          <w:sz w:val="22"/>
          <w:szCs w:val="22"/>
        </w:rPr>
      </w:pPr>
      <w:r w:rsidRPr="00806005">
        <w:rPr>
          <w:b/>
          <w:sz w:val="22"/>
          <w:szCs w:val="22"/>
        </w:rPr>
        <w:t>Wykonawca</w:t>
      </w:r>
      <w:r w:rsidRPr="00806005">
        <w:rPr>
          <w:sz w:val="22"/>
          <w:szCs w:val="22"/>
        </w:rPr>
        <w:t>, który oferuje materiał lub urządzenie</w:t>
      </w:r>
      <w:r w:rsidRPr="00806005">
        <w:rPr>
          <w:b/>
          <w:sz w:val="22"/>
          <w:szCs w:val="22"/>
        </w:rPr>
        <w:t xml:space="preserve"> równoważne musi mieć świadomość, że w przypadku, kiedy Zamawiający badając czy treść oferty odpowiada treści specyfikacji istotnych warunków zamówienia, stwierdzi, że proponowane materiały lub urządzenia nie spełniają wymagania Zamawiającego i nie są równoważne do opisanych w dokumentacji projektowo-kosztorysowej - nastąpi odrzucenie oferty, bez możliwości zmiany jej treści. Nie będzie więc możliwe wycofanie się z oferowania materiału równoważnego</w:t>
      </w:r>
    </w:p>
    <w:p w:rsidR="001C5BA9" w:rsidRPr="00806005" w:rsidRDefault="001C5BA9" w:rsidP="001C5BA9">
      <w:pPr>
        <w:numPr>
          <w:ilvl w:val="1"/>
          <w:numId w:val="11"/>
        </w:numPr>
        <w:tabs>
          <w:tab w:val="clear" w:pos="1800"/>
          <w:tab w:val="num" w:pos="709"/>
        </w:tabs>
        <w:suppressAutoHyphens/>
        <w:ind w:left="709" w:hanging="283"/>
        <w:jc w:val="both"/>
        <w:rPr>
          <w:sz w:val="22"/>
          <w:szCs w:val="22"/>
        </w:rPr>
      </w:pPr>
      <w:r w:rsidRPr="00806005">
        <w:rPr>
          <w:b/>
          <w:sz w:val="22"/>
          <w:szCs w:val="22"/>
        </w:rPr>
        <w:t xml:space="preserve">Wykonawca może dobrowolnie (nieobowiązkowo) przedłożyć Zamawiającemu już w ofercie </w:t>
      </w:r>
      <w:r w:rsidRPr="00806005">
        <w:rPr>
          <w:sz w:val="22"/>
          <w:szCs w:val="22"/>
        </w:rPr>
        <w:t xml:space="preserve">stosowne informacje (np. karty technologiczne, karty katalogowe potwierdzające posiadanie wymaganych cech, opisy zawierające porównanie pomiędzy parametrami technicznymi i użytkowymi, jakościowymi i funkcjonalnymi) materiałów i urządzeń ujętych w opisie przedmiotu zamówienia) w stopniu uszczegółowienia pozwalającym Zamawiającemu na ocenę równoważności z materiałem wzorcowym (określonym dokumentacją projektowo-kosztorysową);  </w:t>
      </w:r>
    </w:p>
    <w:p w:rsidR="001C5BA9" w:rsidRPr="00806005" w:rsidRDefault="001C5BA9" w:rsidP="001C5BA9">
      <w:pPr>
        <w:numPr>
          <w:ilvl w:val="1"/>
          <w:numId w:val="11"/>
        </w:numPr>
        <w:tabs>
          <w:tab w:val="clear" w:pos="1800"/>
          <w:tab w:val="num" w:pos="709"/>
        </w:tabs>
        <w:suppressAutoHyphens/>
        <w:ind w:left="709" w:hanging="283"/>
        <w:jc w:val="both"/>
        <w:rPr>
          <w:sz w:val="22"/>
          <w:szCs w:val="22"/>
        </w:rPr>
      </w:pPr>
      <w:r w:rsidRPr="00806005">
        <w:rPr>
          <w:b/>
          <w:sz w:val="22"/>
          <w:szCs w:val="22"/>
        </w:rPr>
        <w:t>Jeżeli wykonawca nie załączył do oferty informacji, o których mowa w pkt. 5) na wezwanie Zamawiającego będzie zobowiązany do ich przedłożenia</w:t>
      </w:r>
      <w:r w:rsidRPr="00806005">
        <w:rPr>
          <w:sz w:val="22"/>
          <w:szCs w:val="22"/>
        </w:rPr>
        <w:t>;</w:t>
      </w:r>
    </w:p>
    <w:p w:rsidR="001C5BA9" w:rsidRPr="00806005" w:rsidRDefault="001C5BA9" w:rsidP="001C5BA9">
      <w:pPr>
        <w:numPr>
          <w:ilvl w:val="1"/>
          <w:numId w:val="11"/>
        </w:numPr>
        <w:tabs>
          <w:tab w:val="clear" w:pos="1800"/>
          <w:tab w:val="num" w:pos="709"/>
        </w:tabs>
        <w:suppressAutoHyphens/>
        <w:ind w:left="709" w:hanging="283"/>
        <w:jc w:val="both"/>
        <w:rPr>
          <w:sz w:val="22"/>
          <w:szCs w:val="22"/>
        </w:rPr>
      </w:pPr>
      <w:r w:rsidRPr="00806005">
        <w:rPr>
          <w:b/>
          <w:sz w:val="22"/>
          <w:szCs w:val="22"/>
        </w:rPr>
        <w:t>Jeżeli Wykonawca ma wątpliwości co do równoważności materiału lub urządzenia</w:t>
      </w:r>
      <w:r w:rsidRPr="00806005">
        <w:rPr>
          <w:sz w:val="22"/>
          <w:szCs w:val="22"/>
        </w:rPr>
        <w:t xml:space="preserve"> - </w:t>
      </w:r>
      <w:r w:rsidRPr="00806005">
        <w:rPr>
          <w:b/>
          <w:sz w:val="22"/>
          <w:szCs w:val="22"/>
        </w:rPr>
        <w:t>przysługuje mu na etapie sporządzenia oferty zapytanie do Zamawiającego</w:t>
      </w:r>
      <w:r w:rsidRPr="00806005">
        <w:rPr>
          <w:sz w:val="22"/>
          <w:szCs w:val="22"/>
        </w:rPr>
        <w:t>. Zamawiający po analizie propozycji materiału równoważnego, zastrzegając sobie prawo kierowania się opinia projektanta, udzieli wykonawcy odpowiedzi zamieszczając równocześnie na stronie internetowej stosowną informację o uznaniu lub nieuznaniu równoważności materiału bez ujawniania pytającego - dla zapewnienia transparentności postępowania.</w:t>
      </w:r>
    </w:p>
    <w:p w:rsidR="001C5BA9" w:rsidRPr="00806005" w:rsidRDefault="001C5BA9" w:rsidP="001C5BA9">
      <w:pPr>
        <w:numPr>
          <w:ilvl w:val="1"/>
          <w:numId w:val="11"/>
        </w:numPr>
        <w:tabs>
          <w:tab w:val="clear" w:pos="1800"/>
          <w:tab w:val="num" w:pos="709"/>
        </w:tabs>
        <w:suppressAutoHyphens/>
        <w:ind w:left="709" w:hanging="283"/>
        <w:jc w:val="both"/>
        <w:rPr>
          <w:sz w:val="22"/>
          <w:szCs w:val="22"/>
        </w:rPr>
      </w:pPr>
      <w:r w:rsidRPr="00806005">
        <w:rPr>
          <w:sz w:val="22"/>
          <w:szCs w:val="22"/>
        </w:rPr>
        <w:t xml:space="preserve">W przypadku braku zgłoszenia w ofercie materiałów lub urządzeń równoważnych Zamawiający przyjmować będzie, że wycenione w kosztorysie ofertowym </w:t>
      </w:r>
      <w:r w:rsidRPr="00806005">
        <w:rPr>
          <w:b/>
          <w:sz w:val="22"/>
          <w:szCs w:val="22"/>
        </w:rPr>
        <w:t>materiały i urządzenia są dokładnie takie jak określone w dokumentacji projektowej i takie też Wykonawca zainstaluje przy realizacji zamówienia</w:t>
      </w:r>
      <w:r w:rsidRPr="00806005">
        <w:rPr>
          <w:sz w:val="22"/>
          <w:szCs w:val="22"/>
        </w:rPr>
        <w:t>.</w:t>
      </w:r>
    </w:p>
    <w:p w:rsidR="001C5BA9" w:rsidRPr="00806005" w:rsidRDefault="001C5BA9" w:rsidP="001C5BA9">
      <w:pPr>
        <w:numPr>
          <w:ilvl w:val="1"/>
          <w:numId w:val="11"/>
        </w:numPr>
        <w:tabs>
          <w:tab w:val="clear" w:pos="1800"/>
          <w:tab w:val="num" w:pos="709"/>
        </w:tabs>
        <w:suppressAutoHyphens/>
        <w:ind w:left="709" w:hanging="283"/>
        <w:jc w:val="both"/>
        <w:rPr>
          <w:sz w:val="22"/>
          <w:szCs w:val="22"/>
        </w:rPr>
      </w:pPr>
      <w:r w:rsidRPr="00806005">
        <w:rPr>
          <w:sz w:val="22"/>
          <w:szCs w:val="22"/>
        </w:rPr>
        <w:t xml:space="preserve">Jeżeli oferowane materiały równoważne wymagać będą zmiany projektu budowlanego lub posiadanych decyzji - Wykonawca będzie musiał w ramach wykonania zamówienia uzyskać projekt zamienny wraz z ewentualnymi obliczeniami oraz w imieniu Zamawiającego, uzyskać wymagane decyzje własnym staraniem i kosztem.  </w:t>
      </w:r>
    </w:p>
    <w:bookmarkEnd w:id="2"/>
    <w:p w:rsidR="001C5BA9" w:rsidRPr="00806005" w:rsidRDefault="001C5BA9" w:rsidP="001C5BA9">
      <w:pPr>
        <w:rPr>
          <w:b/>
          <w:sz w:val="22"/>
          <w:szCs w:val="22"/>
          <w:u w:val="single"/>
        </w:rPr>
      </w:pPr>
    </w:p>
    <w:p w:rsidR="001C5BA9" w:rsidRPr="00806005" w:rsidRDefault="001C5BA9" w:rsidP="001C5BA9">
      <w:pPr>
        <w:jc w:val="both"/>
        <w:rPr>
          <w:b/>
          <w:sz w:val="22"/>
          <w:szCs w:val="22"/>
        </w:rPr>
      </w:pPr>
      <w:r w:rsidRPr="00806005">
        <w:rPr>
          <w:b/>
          <w:sz w:val="22"/>
          <w:szCs w:val="22"/>
          <w:u w:val="single"/>
        </w:rPr>
        <w:t>Wykonawca winien przestrzegać powyższych wymagań pod rygorem odrzucenia jego oferty jako niespełniającej wymagań SIWZ. Równocześnie Zamawiający informuje, że nie zezwoli na wbudowanie urządzeń nie spełniających jego wymagań.</w:t>
      </w:r>
      <w:r w:rsidR="00C962F4" w:rsidRPr="00806005">
        <w:rPr>
          <w:b/>
          <w:sz w:val="22"/>
          <w:szCs w:val="22"/>
        </w:rPr>
        <w:t xml:space="preserve">    </w:t>
      </w:r>
    </w:p>
    <w:sectPr w:rsidR="001C5BA9" w:rsidRPr="00806005" w:rsidSect="00BD7DE1">
      <w:pgSz w:w="11906" w:h="16838"/>
      <w:pgMar w:top="851" w:right="1418"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159BC"/>
    <w:multiLevelType w:val="hybridMultilevel"/>
    <w:tmpl w:val="B8E4B35A"/>
    <w:lvl w:ilvl="0" w:tplc="2D72CCD6">
      <w:start w:val="1"/>
      <w:numFmt w:val="lowerLetter"/>
      <w:lvlText w:val="%1)"/>
      <w:lvlJc w:val="left"/>
      <w:pPr>
        <w:ind w:left="1080" w:hanging="360"/>
      </w:pPr>
      <w:rPr>
        <w:rFonts w:hint="default"/>
      </w:rPr>
    </w:lvl>
    <w:lvl w:ilvl="1" w:tplc="F946B58C">
      <w:start w:val="1"/>
      <w:numFmt w:val="decimal"/>
      <w:lvlText w:val="%2)"/>
      <w:lvlJc w:val="left"/>
      <w:pPr>
        <w:tabs>
          <w:tab w:val="num" w:pos="1800"/>
        </w:tabs>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26E26016"/>
    <w:multiLevelType w:val="multilevel"/>
    <w:tmpl w:val="5BC63D9E"/>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ascii="Arial" w:eastAsia="Times New Roman" w:hAnsi="Arial" w:cs="Times New Roman"/>
        <w:b w:val="0"/>
      </w:rPr>
    </w:lvl>
    <w:lvl w:ilvl="2">
      <w:start w:val="1"/>
      <w:numFmt w:val="decimal"/>
      <w:lvlText w:val="%1.%2.%3"/>
      <w:lvlJc w:val="left"/>
      <w:pPr>
        <w:ind w:left="2160" w:hanging="720"/>
      </w:pPr>
      <w:rPr>
        <w:rFonts w:hint="default"/>
      </w:rPr>
    </w:lvl>
    <w:lvl w:ilvl="3">
      <w:start w:val="1"/>
      <w:numFmt w:val="decimal"/>
      <w:lvlText w:val="%4."/>
      <w:lvlJc w:val="left"/>
      <w:pPr>
        <w:ind w:left="2880" w:hanging="720"/>
      </w:pPr>
      <w:rPr>
        <w:rFonts w:ascii="Times New Roman" w:eastAsia="Times New Roman" w:hAnsi="Times New Roman" w:cs="Times New Roman"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7."/>
      <w:lvlJc w:val="left"/>
      <w:pPr>
        <w:ind w:left="5760" w:hanging="1440"/>
      </w:pPr>
      <w:rPr>
        <w:rFonts w:ascii="Arial" w:eastAsia="Times New Roman" w:hAnsi="Arial" w:cs="Arial"/>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2726F11"/>
    <w:multiLevelType w:val="hybridMultilevel"/>
    <w:tmpl w:val="671E8A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B0075D9"/>
    <w:multiLevelType w:val="hybridMultilevel"/>
    <w:tmpl w:val="9B86F37E"/>
    <w:name w:val="WW8Num102"/>
    <w:lvl w:ilvl="0" w:tplc="E5605882">
      <w:start w:val="1"/>
      <w:numFmt w:val="decimal"/>
      <w:lvlText w:val="%1."/>
      <w:lvlJc w:val="left"/>
      <w:pPr>
        <w:tabs>
          <w:tab w:val="num" w:pos="720"/>
        </w:tabs>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4B910E5"/>
    <w:multiLevelType w:val="hybridMultilevel"/>
    <w:tmpl w:val="77546E48"/>
    <w:lvl w:ilvl="0" w:tplc="55A2BB3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554D44AA"/>
    <w:multiLevelType w:val="hybridMultilevel"/>
    <w:tmpl w:val="DBD07784"/>
    <w:lvl w:ilvl="0" w:tplc="7108986E">
      <w:start w:val="1"/>
      <w:numFmt w:val="decimal"/>
      <w:lvlText w:val="%1)"/>
      <w:lvlJc w:val="left"/>
      <w:pPr>
        <w:tabs>
          <w:tab w:val="num" w:pos="360"/>
        </w:tabs>
        <w:ind w:left="360" w:hanging="360"/>
      </w:pPr>
      <w:rPr>
        <w:rFonts w:hint="default"/>
      </w:rPr>
    </w:lvl>
    <w:lvl w:ilvl="1" w:tplc="24E49078">
      <w:start w:val="1"/>
      <w:numFmt w:val="decimal"/>
      <w:lvlText w:val="%2)"/>
      <w:lvlJc w:val="left"/>
      <w:pPr>
        <w:tabs>
          <w:tab w:val="num" w:pos="1440"/>
        </w:tabs>
        <w:ind w:left="1440" w:hanging="360"/>
      </w:pPr>
      <w:rPr>
        <w:rFonts w:hint="default"/>
      </w:rPr>
    </w:lvl>
    <w:lvl w:ilvl="2" w:tplc="04150011">
      <w:start w:val="1"/>
      <w:numFmt w:val="decimal"/>
      <w:lvlText w:val="%3)"/>
      <w:lvlJc w:val="left"/>
      <w:pPr>
        <w:ind w:left="360" w:hanging="360"/>
      </w:pPr>
      <w:rPr>
        <w:rFonts w:hint="default"/>
        <w:b w:val="0"/>
        <w:sz w:val="24"/>
        <w:szCs w:val="24"/>
      </w:rPr>
    </w:lvl>
    <w:lvl w:ilvl="3" w:tplc="FC1C7704">
      <w:start w:val="1"/>
      <w:numFmt w:val="lowerLetter"/>
      <w:lvlText w:val="%4)"/>
      <w:lvlJc w:val="left"/>
      <w:pPr>
        <w:ind w:left="2880" w:hanging="360"/>
      </w:pPr>
      <w:rPr>
        <w:rFonts w:hint="default"/>
        <w:sz w:val="23"/>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6775478F"/>
    <w:multiLevelType w:val="hybridMultilevel"/>
    <w:tmpl w:val="21004EA8"/>
    <w:lvl w:ilvl="0" w:tplc="0EAC4314">
      <w:start w:val="1"/>
      <w:numFmt w:val="decimal"/>
      <w:lvlText w:val="%1)"/>
      <w:lvlJc w:val="left"/>
      <w:pPr>
        <w:tabs>
          <w:tab w:val="num" w:pos="357"/>
        </w:tabs>
        <w:ind w:left="357" w:hanging="357"/>
      </w:pPr>
      <w:rPr>
        <w:rFonts w:hint="default"/>
        <w:b w:val="0"/>
        <w:i w:val="0"/>
        <w:color w:val="auto"/>
        <w:sz w:val="24"/>
        <w:szCs w:val="24"/>
      </w:rPr>
    </w:lvl>
    <w:lvl w:ilvl="1" w:tplc="DF92A346">
      <w:start w:val="2"/>
      <w:numFmt w:val="lowerLetter"/>
      <w:lvlText w:val="%2)"/>
      <w:lvlJc w:val="left"/>
      <w:pPr>
        <w:tabs>
          <w:tab w:val="num" w:pos="1072"/>
        </w:tabs>
        <w:ind w:left="1072" w:hanging="358"/>
      </w:pPr>
      <w:rPr>
        <w:rFonts w:hint="default"/>
        <w:b w:val="0"/>
        <w:i w:val="0"/>
        <w:color w:val="auto"/>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6F822492"/>
    <w:multiLevelType w:val="hybridMultilevel"/>
    <w:tmpl w:val="00D07904"/>
    <w:lvl w:ilvl="0" w:tplc="EDB0307E">
      <w:start w:val="1"/>
      <w:numFmt w:val="lowerLetter"/>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8" w15:restartNumberingAfterBreak="0">
    <w:nsid w:val="72A5699E"/>
    <w:multiLevelType w:val="hybridMultilevel"/>
    <w:tmpl w:val="4B488436"/>
    <w:lvl w:ilvl="0" w:tplc="008A1BA0">
      <w:start w:val="1"/>
      <w:numFmt w:val="decimal"/>
      <w:lvlText w:val="%1)"/>
      <w:lvlJc w:val="left"/>
      <w:pPr>
        <w:tabs>
          <w:tab w:val="num" w:pos="360"/>
        </w:tabs>
        <w:ind w:left="360" w:hanging="360"/>
      </w:pPr>
      <w:rPr>
        <w:rFonts w:hint="default"/>
        <w:b w:val="0"/>
        <w:i w:val="0"/>
        <w:color w:val="auto"/>
        <w:sz w:val="24"/>
        <w:szCs w:val="24"/>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9" w15:restartNumberingAfterBreak="0">
    <w:nsid w:val="72F022D7"/>
    <w:multiLevelType w:val="hybridMultilevel"/>
    <w:tmpl w:val="98D8432C"/>
    <w:lvl w:ilvl="0" w:tplc="217E3DB6">
      <w:start w:val="1"/>
      <w:numFmt w:val="lowerLetter"/>
      <w:lvlText w:val="%1)"/>
      <w:lvlJc w:val="left"/>
      <w:pPr>
        <w:tabs>
          <w:tab w:val="num" w:pos="720"/>
        </w:tabs>
        <w:ind w:left="720" w:hanging="360"/>
      </w:pPr>
      <w:rPr>
        <w:rFonts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35438F6"/>
    <w:multiLevelType w:val="hybridMultilevel"/>
    <w:tmpl w:val="FB14D1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4CD3CC0"/>
    <w:multiLevelType w:val="hybridMultilevel"/>
    <w:tmpl w:val="8E720E6C"/>
    <w:lvl w:ilvl="0" w:tplc="DE3C62A4">
      <w:start w:val="1"/>
      <w:numFmt w:val="bullet"/>
      <w:lvlText w:val="–"/>
      <w:lvlJc w:val="left"/>
      <w:pPr>
        <w:tabs>
          <w:tab w:val="num" w:pos="720"/>
        </w:tabs>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95A386C"/>
    <w:multiLevelType w:val="hybridMultilevel"/>
    <w:tmpl w:val="749ABE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7"/>
  </w:num>
  <w:num w:numId="5">
    <w:abstractNumId w:val="12"/>
  </w:num>
  <w:num w:numId="6">
    <w:abstractNumId w:val="6"/>
  </w:num>
  <w:num w:numId="7">
    <w:abstractNumId w:val="8"/>
  </w:num>
  <w:num w:numId="8">
    <w:abstractNumId w:val="9"/>
  </w:num>
  <w:num w:numId="9">
    <w:abstractNumId w:val="2"/>
  </w:num>
  <w:num w:numId="10">
    <w:abstractNumId w:val="5"/>
  </w:num>
  <w:num w:numId="11">
    <w:abstractNumId w:val="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0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A22179"/>
    <w:rsid w:val="00031794"/>
    <w:rsid w:val="000F0261"/>
    <w:rsid w:val="001B4E4B"/>
    <w:rsid w:val="001C5BA9"/>
    <w:rsid w:val="001C6917"/>
    <w:rsid w:val="001C7FE5"/>
    <w:rsid w:val="0028559B"/>
    <w:rsid w:val="002A41C3"/>
    <w:rsid w:val="00304955"/>
    <w:rsid w:val="003C185A"/>
    <w:rsid w:val="003E2C26"/>
    <w:rsid w:val="0042789F"/>
    <w:rsid w:val="0048266C"/>
    <w:rsid w:val="004A453E"/>
    <w:rsid w:val="004C40AE"/>
    <w:rsid w:val="004E227A"/>
    <w:rsid w:val="00543FA6"/>
    <w:rsid w:val="00544E30"/>
    <w:rsid w:val="005C4113"/>
    <w:rsid w:val="006E07E5"/>
    <w:rsid w:val="006E2C58"/>
    <w:rsid w:val="006F678D"/>
    <w:rsid w:val="0074615E"/>
    <w:rsid w:val="007532AB"/>
    <w:rsid w:val="007B256D"/>
    <w:rsid w:val="007E0EEB"/>
    <w:rsid w:val="007F37DA"/>
    <w:rsid w:val="00806005"/>
    <w:rsid w:val="00877868"/>
    <w:rsid w:val="0089633A"/>
    <w:rsid w:val="008C66F0"/>
    <w:rsid w:val="00964208"/>
    <w:rsid w:val="00A22179"/>
    <w:rsid w:val="00A27D8E"/>
    <w:rsid w:val="00A35904"/>
    <w:rsid w:val="00AB4D63"/>
    <w:rsid w:val="00AC6622"/>
    <w:rsid w:val="00AE2FF6"/>
    <w:rsid w:val="00B85AEE"/>
    <w:rsid w:val="00BC4F06"/>
    <w:rsid w:val="00BD7DE1"/>
    <w:rsid w:val="00C84C56"/>
    <w:rsid w:val="00C962F4"/>
    <w:rsid w:val="00D1729C"/>
    <w:rsid w:val="00D64C13"/>
    <w:rsid w:val="00D7094F"/>
    <w:rsid w:val="00DD6D62"/>
    <w:rsid w:val="00DF276C"/>
    <w:rsid w:val="00FB41FE"/>
    <w:rsid w:val="00FC1200"/>
    <w:rsid w:val="00FF42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C068A8-13CB-48D4-A096-6C79B1EFF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22179"/>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22179"/>
    <w:pPr>
      <w:keepNext/>
      <w:jc w:val="center"/>
      <w:outlineLvl w:val="0"/>
    </w:pPr>
    <w:rPr>
      <w:b/>
      <w:sz w:val="32"/>
    </w:rPr>
  </w:style>
  <w:style w:type="paragraph" w:styleId="Nagwek2">
    <w:name w:val="heading 2"/>
    <w:basedOn w:val="Normalny"/>
    <w:next w:val="Normalny"/>
    <w:link w:val="Nagwek2Znak"/>
    <w:uiPriority w:val="9"/>
    <w:unhideWhenUsed/>
    <w:qFormat/>
    <w:rsid w:val="00543F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9">
    <w:name w:val="heading 9"/>
    <w:basedOn w:val="Normalny"/>
    <w:next w:val="Normalny"/>
    <w:link w:val="Nagwek9Znak"/>
    <w:uiPriority w:val="9"/>
    <w:unhideWhenUsed/>
    <w:qFormat/>
    <w:rsid w:val="004A453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22179"/>
    <w:rPr>
      <w:rFonts w:ascii="Times New Roman" w:eastAsia="Times New Roman" w:hAnsi="Times New Roman" w:cs="Times New Roman"/>
      <w:b/>
      <w:sz w:val="32"/>
      <w:szCs w:val="20"/>
      <w:lang w:eastAsia="pl-PL"/>
    </w:rPr>
  </w:style>
  <w:style w:type="paragraph" w:styleId="Tekstpodstawowy2">
    <w:name w:val="Body Text 2"/>
    <w:basedOn w:val="Normalny"/>
    <w:link w:val="Tekstpodstawowy2Znak"/>
    <w:rsid w:val="00A22179"/>
    <w:pPr>
      <w:jc w:val="center"/>
    </w:pPr>
    <w:rPr>
      <w:b/>
      <w:sz w:val="32"/>
    </w:rPr>
  </w:style>
  <w:style w:type="character" w:customStyle="1" w:styleId="Tekstpodstawowy2Znak">
    <w:name w:val="Tekst podstawowy 2 Znak"/>
    <w:basedOn w:val="Domylnaczcionkaakapitu"/>
    <w:link w:val="Tekstpodstawowy2"/>
    <w:rsid w:val="00A22179"/>
    <w:rPr>
      <w:rFonts w:ascii="Times New Roman" w:eastAsia="Times New Roman" w:hAnsi="Times New Roman" w:cs="Times New Roman"/>
      <w:b/>
      <w:sz w:val="32"/>
      <w:szCs w:val="20"/>
      <w:lang w:eastAsia="pl-PL"/>
    </w:rPr>
  </w:style>
  <w:style w:type="paragraph" w:styleId="Tekstpodstawowy">
    <w:name w:val="Body Text"/>
    <w:basedOn w:val="Normalny"/>
    <w:link w:val="TekstpodstawowyZnak"/>
    <w:rsid w:val="00A22179"/>
    <w:pPr>
      <w:jc w:val="both"/>
    </w:pPr>
    <w:rPr>
      <w:sz w:val="24"/>
    </w:rPr>
  </w:style>
  <w:style w:type="character" w:customStyle="1" w:styleId="TekstpodstawowyZnak">
    <w:name w:val="Tekst podstawowy Znak"/>
    <w:basedOn w:val="Domylnaczcionkaakapitu"/>
    <w:link w:val="Tekstpodstawowy"/>
    <w:rsid w:val="00A22179"/>
    <w:rPr>
      <w:rFonts w:ascii="Times New Roman" w:eastAsia="Times New Roman" w:hAnsi="Times New Roman" w:cs="Times New Roman"/>
      <w:sz w:val="24"/>
      <w:szCs w:val="20"/>
    </w:rPr>
  </w:style>
  <w:style w:type="character" w:customStyle="1" w:styleId="FontStyle28">
    <w:name w:val="Font Style28"/>
    <w:rsid w:val="00A22179"/>
    <w:rPr>
      <w:rFonts w:ascii="Times New Roman" w:hAnsi="Times New Roman" w:cs="Times New Roman"/>
      <w:b/>
      <w:bCs/>
      <w:i/>
      <w:iCs/>
      <w:sz w:val="20"/>
      <w:szCs w:val="20"/>
    </w:rPr>
  </w:style>
  <w:style w:type="paragraph" w:customStyle="1" w:styleId="ft00p4">
    <w:name w:val="ft00p4"/>
    <w:basedOn w:val="Normalny"/>
    <w:rsid w:val="00A22179"/>
    <w:pPr>
      <w:spacing w:before="100" w:beforeAutospacing="1" w:after="100" w:afterAutospacing="1"/>
    </w:pPr>
    <w:rPr>
      <w:sz w:val="24"/>
      <w:szCs w:val="24"/>
    </w:rPr>
  </w:style>
  <w:style w:type="paragraph" w:styleId="Akapitzlist">
    <w:name w:val="List Paragraph"/>
    <w:basedOn w:val="Normalny"/>
    <w:link w:val="AkapitzlistZnak"/>
    <w:uiPriority w:val="99"/>
    <w:qFormat/>
    <w:rsid w:val="00D64C13"/>
    <w:pPr>
      <w:ind w:left="720"/>
      <w:contextualSpacing/>
    </w:pPr>
  </w:style>
  <w:style w:type="character" w:customStyle="1" w:styleId="Nagwek2Znak">
    <w:name w:val="Nagłówek 2 Znak"/>
    <w:basedOn w:val="Domylnaczcionkaakapitu"/>
    <w:link w:val="Nagwek2"/>
    <w:uiPriority w:val="9"/>
    <w:rsid w:val="00543FA6"/>
    <w:rPr>
      <w:rFonts w:asciiTheme="majorHAnsi" w:eastAsiaTheme="majorEastAsia" w:hAnsiTheme="majorHAnsi" w:cstheme="majorBidi"/>
      <w:b/>
      <w:bCs/>
      <w:color w:val="4F81BD" w:themeColor="accent1"/>
      <w:sz w:val="26"/>
      <w:szCs w:val="26"/>
      <w:lang w:eastAsia="pl-PL"/>
    </w:rPr>
  </w:style>
  <w:style w:type="character" w:customStyle="1" w:styleId="Nagwek9Znak">
    <w:name w:val="Nagłówek 9 Znak"/>
    <w:basedOn w:val="Domylnaczcionkaakapitu"/>
    <w:link w:val="Nagwek9"/>
    <w:uiPriority w:val="9"/>
    <w:rsid w:val="004A453E"/>
    <w:rPr>
      <w:rFonts w:asciiTheme="majorHAnsi" w:eastAsiaTheme="majorEastAsia" w:hAnsiTheme="majorHAnsi" w:cstheme="majorBidi"/>
      <w:i/>
      <w:iCs/>
      <w:color w:val="404040" w:themeColor="text1" w:themeTint="BF"/>
      <w:sz w:val="20"/>
      <w:szCs w:val="20"/>
      <w:lang w:eastAsia="pl-PL"/>
    </w:rPr>
  </w:style>
  <w:style w:type="paragraph" w:styleId="Tekstkomentarza">
    <w:name w:val="annotation text"/>
    <w:basedOn w:val="Normalny"/>
    <w:link w:val="TekstkomentarzaZnak"/>
    <w:semiHidden/>
    <w:rsid w:val="004A453E"/>
  </w:style>
  <w:style w:type="character" w:customStyle="1" w:styleId="TekstkomentarzaZnak">
    <w:name w:val="Tekst komentarza Znak"/>
    <w:basedOn w:val="Domylnaczcionkaakapitu"/>
    <w:link w:val="Tekstkomentarza"/>
    <w:semiHidden/>
    <w:rsid w:val="004A453E"/>
    <w:rPr>
      <w:rFonts w:ascii="Times New Roman" w:eastAsia="Times New Roman" w:hAnsi="Times New Roman" w:cs="Times New Roman"/>
      <w:sz w:val="20"/>
      <w:szCs w:val="20"/>
      <w:lang w:eastAsia="pl-PL"/>
    </w:rPr>
  </w:style>
  <w:style w:type="character" w:customStyle="1" w:styleId="ZnakZnak">
    <w:name w:val="Znak Znak"/>
    <w:basedOn w:val="Domylnaczcionkaakapitu"/>
    <w:rsid w:val="004A453E"/>
    <w:rPr>
      <w:b/>
      <w:sz w:val="24"/>
      <w:lang w:val="pl-PL" w:bidi="ar-SA"/>
    </w:rPr>
  </w:style>
  <w:style w:type="table" w:styleId="Tabela-Siatka">
    <w:name w:val="Table Grid"/>
    <w:basedOn w:val="Standardowy"/>
    <w:uiPriority w:val="59"/>
    <w:rsid w:val="00BD7DE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D7DE1"/>
    <w:rPr>
      <w:rFonts w:ascii="Tahoma" w:hAnsi="Tahoma" w:cs="Tahoma"/>
      <w:sz w:val="16"/>
      <w:szCs w:val="16"/>
    </w:rPr>
  </w:style>
  <w:style w:type="character" w:customStyle="1" w:styleId="TekstdymkaZnak">
    <w:name w:val="Tekst dymka Znak"/>
    <w:basedOn w:val="Domylnaczcionkaakapitu"/>
    <w:link w:val="Tekstdymka"/>
    <w:uiPriority w:val="99"/>
    <w:semiHidden/>
    <w:rsid w:val="00BD7DE1"/>
    <w:rPr>
      <w:rFonts w:ascii="Tahoma" w:eastAsia="Times New Roman" w:hAnsi="Tahoma" w:cs="Tahoma"/>
      <w:sz w:val="16"/>
      <w:szCs w:val="16"/>
      <w:lang w:eastAsia="pl-PL"/>
    </w:rPr>
  </w:style>
  <w:style w:type="paragraph" w:customStyle="1" w:styleId="Domylne">
    <w:name w:val="Domyślne"/>
    <w:rsid w:val="0028559B"/>
    <w:pPr>
      <w:shd w:val="clear" w:color="auto" w:fill="FFFFFF"/>
      <w:autoSpaceDN w:val="0"/>
      <w:spacing w:after="0" w:line="240" w:lineRule="auto"/>
      <w:textAlignment w:val="baseline"/>
    </w:pPr>
    <w:rPr>
      <w:rFonts w:ascii="Helvetica Neue" w:eastAsia="Arial Unicode MS" w:hAnsi="Helvetica Neue" w:cs="Arial Unicode MS"/>
      <w:color w:val="000000"/>
      <w:kern w:val="3"/>
      <w:lang w:val="es-ES" w:eastAsia="zh-CN" w:bidi="hi-IN"/>
    </w:rPr>
  </w:style>
  <w:style w:type="character" w:customStyle="1" w:styleId="ZnakZnak0">
    <w:name w:val="Znak Znak"/>
    <w:rsid w:val="001C5BA9"/>
    <w:rPr>
      <w:b/>
      <w:sz w:val="24"/>
      <w:lang w:val="pl-PL" w:bidi="ar-SA"/>
    </w:rPr>
  </w:style>
  <w:style w:type="character" w:customStyle="1" w:styleId="AkapitzlistZnak">
    <w:name w:val="Akapit z listą Znak"/>
    <w:link w:val="Akapitzlist"/>
    <w:uiPriority w:val="99"/>
    <w:rsid w:val="001C5BA9"/>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1669</Words>
  <Characters>10019</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hsiry</dc:creator>
  <cp:keywords/>
  <dc:description/>
  <cp:lastModifiedBy>Honorata Siry Jabłońska</cp:lastModifiedBy>
  <cp:revision>7</cp:revision>
  <cp:lastPrinted>2017-04-28T13:06:00Z</cp:lastPrinted>
  <dcterms:created xsi:type="dcterms:W3CDTF">2019-02-05T14:29:00Z</dcterms:created>
  <dcterms:modified xsi:type="dcterms:W3CDTF">2019-02-07T08:56:00Z</dcterms:modified>
</cp:coreProperties>
</file>