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8706" w14:textId="16FA7D70" w:rsidR="00626AD8" w:rsidRPr="00E87EEB" w:rsidRDefault="00626AD8" w:rsidP="00626AD8">
      <w:pPr>
        <w:jc w:val="both"/>
        <w:rPr>
          <w:rFonts w:ascii="Tahoma" w:hAnsi="Tahoma" w:cs="Tahoma"/>
          <w:sz w:val="24"/>
          <w:szCs w:val="24"/>
        </w:rPr>
      </w:pPr>
      <w:r w:rsidRPr="00E87EEB">
        <w:rPr>
          <w:rFonts w:ascii="Tahoma" w:hAnsi="Tahoma" w:cs="Tahoma"/>
          <w:sz w:val="24"/>
          <w:szCs w:val="24"/>
        </w:rPr>
        <w:t>DA.KK.232.</w:t>
      </w:r>
      <w:r w:rsidR="000F6A51">
        <w:rPr>
          <w:rFonts w:ascii="Tahoma" w:hAnsi="Tahoma" w:cs="Tahoma"/>
          <w:sz w:val="24"/>
          <w:szCs w:val="24"/>
        </w:rPr>
        <w:t>82</w:t>
      </w:r>
      <w:r w:rsidRPr="00E87EEB">
        <w:rPr>
          <w:rFonts w:ascii="Tahoma" w:hAnsi="Tahoma" w:cs="Tahoma"/>
          <w:sz w:val="24"/>
          <w:szCs w:val="24"/>
        </w:rPr>
        <w:t>.2024</w:t>
      </w:r>
    </w:p>
    <w:p w14:paraId="04AB4D89" w14:textId="424FFC7D" w:rsidR="00221E33" w:rsidRPr="00E87EEB" w:rsidRDefault="004A637C" w:rsidP="00BE0C4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</w:t>
      </w:r>
      <w:r w:rsidR="00221E33" w:rsidRPr="00E87EEB">
        <w:rPr>
          <w:rFonts w:ascii="Tahoma" w:hAnsi="Tahoma" w:cs="Tahoma"/>
          <w:sz w:val="24"/>
          <w:szCs w:val="24"/>
        </w:rPr>
        <w:t xml:space="preserve">Załącznik nr </w:t>
      </w:r>
      <w:r w:rsidR="00626AD8" w:rsidRPr="00E87EEB">
        <w:rPr>
          <w:rFonts w:ascii="Tahoma" w:hAnsi="Tahoma" w:cs="Tahoma"/>
          <w:sz w:val="24"/>
          <w:szCs w:val="24"/>
        </w:rPr>
        <w:t>3</w:t>
      </w:r>
    </w:p>
    <w:p w14:paraId="5CCDA748" w14:textId="62C2D252" w:rsidR="00221E33" w:rsidRPr="00E87EEB" w:rsidRDefault="00626AD8" w:rsidP="00221E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87EEB">
        <w:rPr>
          <w:rFonts w:ascii="Tahoma" w:hAnsi="Tahoma" w:cs="Tahoma"/>
          <w:b/>
          <w:bCs/>
          <w:sz w:val="24"/>
          <w:szCs w:val="24"/>
        </w:rPr>
        <w:t>Formularz cenowy</w:t>
      </w:r>
    </w:p>
    <w:p w14:paraId="7A4BC62B" w14:textId="77777777" w:rsidR="00221E33" w:rsidRPr="00E87EEB" w:rsidRDefault="00221E33" w:rsidP="00221E33">
      <w:pPr>
        <w:rPr>
          <w:rFonts w:ascii="Tahoma" w:hAnsi="Tahoma" w:cs="Tahoma"/>
          <w:b/>
          <w:bCs/>
          <w:sz w:val="24"/>
          <w:szCs w:val="24"/>
        </w:rPr>
      </w:pPr>
    </w:p>
    <w:p w14:paraId="6747F11F" w14:textId="3D700CD2" w:rsidR="007B71D8" w:rsidRPr="00E87EEB" w:rsidRDefault="00D919E6" w:rsidP="00A35317">
      <w:pPr>
        <w:rPr>
          <w:rFonts w:ascii="Tahoma" w:hAnsi="Tahoma" w:cs="Tahoma"/>
          <w:b/>
          <w:bCs/>
          <w:sz w:val="24"/>
          <w:szCs w:val="24"/>
        </w:rPr>
      </w:pPr>
      <w:r w:rsidRPr="00E87EEB">
        <w:rPr>
          <w:rFonts w:ascii="Tahoma" w:hAnsi="Tahoma" w:cs="Tahoma"/>
          <w:b/>
          <w:bCs/>
          <w:sz w:val="24"/>
          <w:szCs w:val="24"/>
        </w:rPr>
        <w:t>Część (pakiet)</w:t>
      </w:r>
      <w:r w:rsidR="007B71D8" w:rsidRPr="00E87EEB">
        <w:rPr>
          <w:rFonts w:ascii="Tahoma" w:hAnsi="Tahoma" w:cs="Tahoma"/>
          <w:b/>
          <w:bCs/>
          <w:sz w:val="24"/>
          <w:szCs w:val="24"/>
        </w:rPr>
        <w:t xml:space="preserve"> 1</w:t>
      </w:r>
    </w:p>
    <w:tbl>
      <w:tblPr>
        <w:tblStyle w:val="Tabela-Siatka"/>
        <w:tblW w:w="105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0"/>
        <w:gridCol w:w="2925"/>
        <w:gridCol w:w="941"/>
        <w:gridCol w:w="803"/>
        <w:gridCol w:w="1813"/>
        <w:gridCol w:w="9"/>
        <w:gridCol w:w="1821"/>
        <w:gridCol w:w="24"/>
      </w:tblGrid>
      <w:tr w:rsidR="001D53B4" w:rsidRPr="00E87EEB" w14:paraId="32321496" w14:textId="17E160C3" w:rsidTr="000A4E0D">
        <w:trPr>
          <w:gridAfter w:val="1"/>
          <w:wAfter w:w="24" w:type="dxa"/>
        </w:trPr>
        <w:tc>
          <w:tcPr>
            <w:tcW w:w="709" w:type="dxa"/>
            <w:shd w:val="clear" w:color="auto" w:fill="C5E0B3" w:themeFill="accent6" w:themeFillTint="66"/>
          </w:tcPr>
          <w:p w14:paraId="49C0AE6A" w14:textId="77777777" w:rsidR="004121CC" w:rsidRPr="00E87EEB" w:rsidRDefault="004121CC" w:rsidP="00AF6F0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75" w:type="dxa"/>
            <w:gridSpan w:val="2"/>
            <w:shd w:val="clear" w:color="auto" w:fill="C5E0B3" w:themeFill="accent6" w:themeFillTint="66"/>
          </w:tcPr>
          <w:p w14:paraId="71233184" w14:textId="0C494D33" w:rsidR="004121CC" w:rsidRPr="00E87EEB" w:rsidRDefault="004121CC" w:rsidP="003B5C2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941" w:type="dxa"/>
            <w:shd w:val="clear" w:color="auto" w:fill="C5E0B3" w:themeFill="accent6" w:themeFillTint="66"/>
          </w:tcPr>
          <w:p w14:paraId="4C64EB6A" w14:textId="190C8275" w:rsidR="004121CC" w:rsidRPr="00E87EEB" w:rsidRDefault="004121CC" w:rsidP="00AF6F0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803" w:type="dxa"/>
            <w:shd w:val="clear" w:color="auto" w:fill="C5E0B3" w:themeFill="accent6" w:themeFillTint="66"/>
          </w:tcPr>
          <w:p w14:paraId="6E2F9348" w14:textId="1ABFD541" w:rsidR="004121CC" w:rsidRPr="00E87EEB" w:rsidRDefault="004121CC" w:rsidP="00AF6F0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813" w:type="dxa"/>
            <w:shd w:val="clear" w:color="auto" w:fill="C5E0B3" w:themeFill="accent6" w:themeFillTint="66"/>
          </w:tcPr>
          <w:p w14:paraId="5DEEE80F" w14:textId="5228FA10" w:rsidR="004121CC" w:rsidRPr="00E87EEB" w:rsidRDefault="004121CC" w:rsidP="00AF6F0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jednostkowa brutto (za 1 szt./op./zestaw)</w:t>
            </w:r>
          </w:p>
        </w:tc>
        <w:tc>
          <w:tcPr>
            <w:tcW w:w="1830" w:type="dxa"/>
            <w:gridSpan w:val="2"/>
            <w:shd w:val="clear" w:color="auto" w:fill="C5E0B3" w:themeFill="accent6" w:themeFillTint="66"/>
          </w:tcPr>
          <w:p w14:paraId="3C49D9BA" w14:textId="0C8823CF" w:rsidR="004121CC" w:rsidRPr="00E87EEB" w:rsidRDefault="004121CC" w:rsidP="00AF6F0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całkowita brutto</w:t>
            </w:r>
          </w:p>
        </w:tc>
      </w:tr>
      <w:tr w:rsidR="000F6A51" w:rsidRPr="00E87EEB" w14:paraId="78E6B8D3" w14:textId="783299F2" w:rsidTr="000A4E0D">
        <w:trPr>
          <w:gridAfter w:val="1"/>
          <w:wAfter w:w="24" w:type="dxa"/>
        </w:trPr>
        <w:tc>
          <w:tcPr>
            <w:tcW w:w="709" w:type="dxa"/>
          </w:tcPr>
          <w:p w14:paraId="464C99D4" w14:textId="77777777" w:rsidR="000F6A51" w:rsidRPr="00E87EEB" w:rsidRDefault="000F6A51" w:rsidP="000F6A51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25A2E6E" w14:textId="03EA65F9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do izolacji DNA </w:t>
            </w:r>
          </w:p>
        </w:tc>
        <w:tc>
          <w:tcPr>
            <w:tcW w:w="2925" w:type="dxa"/>
          </w:tcPr>
          <w:p w14:paraId="58B3E150" w14:textId="63B882E0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Zestawy do izolacji całkowitego DNA z próbek: - świeżych tkanek roślinnych - suszonych tkanek roślinnych - mrożonych tkanek roślinnych, 50 izolacji</w:t>
            </w:r>
          </w:p>
        </w:tc>
        <w:tc>
          <w:tcPr>
            <w:tcW w:w="941" w:type="dxa"/>
          </w:tcPr>
          <w:p w14:paraId="0B394AFB" w14:textId="608F41F2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803" w:type="dxa"/>
          </w:tcPr>
          <w:p w14:paraId="07D7B27A" w14:textId="59224BA5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68905542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14:paraId="4848CFE6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7EC3A519" w14:textId="2C5C957B" w:rsidTr="000A4E0D">
        <w:trPr>
          <w:gridAfter w:val="1"/>
          <w:wAfter w:w="24" w:type="dxa"/>
        </w:trPr>
        <w:tc>
          <w:tcPr>
            <w:tcW w:w="709" w:type="dxa"/>
          </w:tcPr>
          <w:p w14:paraId="464D73EF" w14:textId="77777777" w:rsidR="000F6A51" w:rsidRPr="00E87EEB" w:rsidRDefault="000F6A51" w:rsidP="000F6A51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4656647" w14:textId="511F6F99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PCR</w:t>
            </w:r>
          </w:p>
        </w:tc>
        <w:tc>
          <w:tcPr>
            <w:tcW w:w="2925" w:type="dxa"/>
          </w:tcPr>
          <w:p w14:paraId="61116C16" w14:textId="010A9319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przygotowania reakcji PCR zawierający: termo stabilną polimerazę DNA, bufor reakcyjny, wolne nukleotydy, jony magnezu, 50 reakcji</w:t>
            </w:r>
          </w:p>
        </w:tc>
        <w:tc>
          <w:tcPr>
            <w:tcW w:w="941" w:type="dxa"/>
          </w:tcPr>
          <w:p w14:paraId="45E76F32" w14:textId="2B583198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803" w:type="dxa"/>
          </w:tcPr>
          <w:p w14:paraId="746C6DF7" w14:textId="7096421F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682B6B98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14:paraId="76DF4AE0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10024F04" w14:textId="6F48603E" w:rsidTr="000A4E0D">
        <w:trPr>
          <w:gridAfter w:val="1"/>
          <w:wAfter w:w="24" w:type="dxa"/>
        </w:trPr>
        <w:tc>
          <w:tcPr>
            <w:tcW w:w="709" w:type="dxa"/>
          </w:tcPr>
          <w:p w14:paraId="32A1A067" w14:textId="77777777" w:rsidR="000F6A51" w:rsidRPr="00E87EEB" w:rsidRDefault="000F6A51" w:rsidP="000F6A51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D934DAE" w14:textId="1D2A5E7C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Woda do PCR</w:t>
            </w:r>
          </w:p>
        </w:tc>
        <w:tc>
          <w:tcPr>
            <w:tcW w:w="2925" w:type="dxa"/>
          </w:tcPr>
          <w:p w14:paraId="17180A3E" w14:textId="6E58887D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Destylowana i dejonizowana woda do reakcji PCR wolna od RNA i DNA, sterylna 500 ml</w:t>
            </w:r>
          </w:p>
        </w:tc>
        <w:tc>
          <w:tcPr>
            <w:tcW w:w="941" w:type="dxa"/>
          </w:tcPr>
          <w:p w14:paraId="07B6F0B4" w14:textId="22D99579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803" w:type="dxa"/>
          </w:tcPr>
          <w:p w14:paraId="104DB415" w14:textId="38ED36A3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E5E4CB9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14:paraId="46A127E1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4F20D1A4" w14:textId="2F83B83C" w:rsidTr="000A4E0D">
        <w:trPr>
          <w:gridAfter w:val="1"/>
          <w:wAfter w:w="24" w:type="dxa"/>
        </w:trPr>
        <w:tc>
          <w:tcPr>
            <w:tcW w:w="709" w:type="dxa"/>
          </w:tcPr>
          <w:p w14:paraId="439E0792" w14:textId="77777777" w:rsidR="000F6A51" w:rsidRPr="00E87EEB" w:rsidRDefault="000F6A51" w:rsidP="000F6A51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9551F2" w14:textId="1B6C90D7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Agaroza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do elektroforezy</w:t>
            </w:r>
          </w:p>
        </w:tc>
        <w:tc>
          <w:tcPr>
            <w:tcW w:w="2925" w:type="dxa"/>
          </w:tcPr>
          <w:p w14:paraId="1B756597" w14:textId="46C373B1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Tabletki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agarozowe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do rozpuszczania do przeprowadzania elektroforezy</w:t>
            </w:r>
          </w:p>
        </w:tc>
        <w:tc>
          <w:tcPr>
            <w:tcW w:w="941" w:type="dxa"/>
          </w:tcPr>
          <w:p w14:paraId="085CB48F" w14:textId="7BCB016A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op.</w:t>
            </w:r>
          </w:p>
        </w:tc>
        <w:tc>
          <w:tcPr>
            <w:tcW w:w="803" w:type="dxa"/>
          </w:tcPr>
          <w:p w14:paraId="01C71FEF" w14:textId="10167213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14:paraId="7AB21ADC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14:paraId="6B3F92F0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300B42A1" w14:textId="00F4E36C" w:rsidTr="000A4E0D">
        <w:trPr>
          <w:gridAfter w:val="1"/>
          <w:wAfter w:w="24" w:type="dxa"/>
        </w:trPr>
        <w:tc>
          <w:tcPr>
            <w:tcW w:w="709" w:type="dxa"/>
          </w:tcPr>
          <w:p w14:paraId="391754CD" w14:textId="77777777" w:rsidR="000F6A51" w:rsidRPr="00E87EEB" w:rsidRDefault="000F6A51" w:rsidP="000F6A51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1D0D3F" w14:textId="7F8C61D4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Bufor do elektroforezy</w:t>
            </w:r>
          </w:p>
        </w:tc>
        <w:tc>
          <w:tcPr>
            <w:tcW w:w="2925" w:type="dxa"/>
          </w:tcPr>
          <w:p w14:paraId="2891FC62" w14:textId="49B93581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Bufor do elektroforezy koncentrat</w:t>
            </w:r>
          </w:p>
        </w:tc>
        <w:tc>
          <w:tcPr>
            <w:tcW w:w="941" w:type="dxa"/>
          </w:tcPr>
          <w:p w14:paraId="55DCCF58" w14:textId="66074042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op.</w:t>
            </w:r>
          </w:p>
        </w:tc>
        <w:tc>
          <w:tcPr>
            <w:tcW w:w="803" w:type="dxa"/>
          </w:tcPr>
          <w:p w14:paraId="038C14EC" w14:textId="0D1CB6AC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04D9D3C1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14:paraId="4DC55ECE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6B431BDE" w14:textId="27D2E3FF" w:rsidTr="000A4E0D">
        <w:trPr>
          <w:gridAfter w:val="1"/>
          <w:wAfter w:w="24" w:type="dxa"/>
        </w:trPr>
        <w:tc>
          <w:tcPr>
            <w:tcW w:w="709" w:type="dxa"/>
          </w:tcPr>
          <w:p w14:paraId="6E6AB0B0" w14:textId="77777777" w:rsidR="000F6A51" w:rsidRPr="00E87EEB" w:rsidRDefault="000F6A51" w:rsidP="000F6A51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E09523E" w14:textId="77271D3C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Total RNA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Isolation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Kit </w:t>
            </w:r>
          </w:p>
        </w:tc>
        <w:tc>
          <w:tcPr>
            <w:tcW w:w="2925" w:type="dxa"/>
          </w:tcPr>
          <w:p w14:paraId="16A4C335" w14:textId="4325677B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odczynników do izolacji całkowitego RNA  </w:t>
            </w:r>
          </w:p>
        </w:tc>
        <w:tc>
          <w:tcPr>
            <w:tcW w:w="941" w:type="dxa"/>
          </w:tcPr>
          <w:p w14:paraId="34789CB9" w14:textId="45F92B7C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803" w:type="dxa"/>
          </w:tcPr>
          <w:p w14:paraId="49E181F3" w14:textId="1A696DFA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4E8F22C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14:paraId="608186CD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61F4" w:rsidRPr="00E87EEB" w14:paraId="5CEE5042" w14:textId="77777777" w:rsidTr="00011435">
        <w:tc>
          <w:tcPr>
            <w:tcW w:w="8750" w:type="dxa"/>
            <w:gridSpan w:val="7"/>
          </w:tcPr>
          <w:p w14:paraId="42DAF6C1" w14:textId="28A84915" w:rsidR="00CC61F4" w:rsidRPr="00E87EEB" w:rsidRDefault="00CC61F4" w:rsidP="00AF6F0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1845" w:type="dxa"/>
            <w:gridSpan w:val="2"/>
          </w:tcPr>
          <w:p w14:paraId="1F11FCEA" w14:textId="77777777" w:rsidR="00CC61F4" w:rsidRPr="00E87EEB" w:rsidRDefault="00CC61F4" w:rsidP="00AF6F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5392932" w14:textId="77777777" w:rsidR="00CC61F4" w:rsidRPr="00E87EEB" w:rsidRDefault="00CC61F4" w:rsidP="00AF6F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F72A44" w14:textId="77777777" w:rsidR="003E5D15" w:rsidRPr="00E87EEB" w:rsidRDefault="003E5D15" w:rsidP="00612A28">
      <w:pPr>
        <w:rPr>
          <w:rFonts w:ascii="Tahoma" w:hAnsi="Tahoma" w:cs="Tahoma"/>
          <w:b/>
          <w:bCs/>
          <w:sz w:val="24"/>
          <w:szCs w:val="24"/>
        </w:rPr>
      </w:pPr>
    </w:p>
    <w:p w14:paraId="149BA61A" w14:textId="77777777" w:rsidR="000F6A51" w:rsidRDefault="000F6A51" w:rsidP="00612A28">
      <w:pPr>
        <w:rPr>
          <w:rFonts w:ascii="Tahoma" w:hAnsi="Tahoma" w:cs="Tahoma"/>
          <w:b/>
          <w:bCs/>
          <w:sz w:val="24"/>
          <w:szCs w:val="24"/>
        </w:rPr>
      </w:pPr>
    </w:p>
    <w:p w14:paraId="7DC74D2E" w14:textId="22AAFC3E" w:rsidR="007B71D8" w:rsidRPr="00E87EEB" w:rsidRDefault="00D919E6" w:rsidP="00612A28">
      <w:pPr>
        <w:rPr>
          <w:rFonts w:ascii="Tahoma" w:hAnsi="Tahoma" w:cs="Tahoma"/>
          <w:b/>
          <w:bCs/>
          <w:sz w:val="24"/>
          <w:szCs w:val="24"/>
        </w:rPr>
      </w:pPr>
      <w:r w:rsidRPr="00E87EEB">
        <w:rPr>
          <w:rFonts w:ascii="Tahoma" w:hAnsi="Tahoma" w:cs="Tahoma"/>
          <w:b/>
          <w:bCs/>
          <w:sz w:val="24"/>
          <w:szCs w:val="24"/>
        </w:rPr>
        <w:lastRenderedPageBreak/>
        <w:t>Część (p</w:t>
      </w:r>
      <w:r w:rsidR="007B71D8" w:rsidRPr="00E87EEB">
        <w:rPr>
          <w:rFonts w:ascii="Tahoma" w:hAnsi="Tahoma" w:cs="Tahoma"/>
          <w:b/>
          <w:bCs/>
          <w:sz w:val="24"/>
          <w:szCs w:val="24"/>
        </w:rPr>
        <w:t>akiet</w:t>
      </w:r>
      <w:r w:rsidRPr="00E87EEB">
        <w:rPr>
          <w:rFonts w:ascii="Tahoma" w:hAnsi="Tahoma" w:cs="Tahoma"/>
          <w:b/>
          <w:bCs/>
          <w:sz w:val="24"/>
          <w:szCs w:val="24"/>
        </w:rPr>
        <w:t xml:space="preserve">) </w:t>
      </w:r>
      <w:r w:rsidR="00226FD7" w:rsidRPr="00E87EEB">
        <w:rPr>
          <w:rFonts w:ascii="Tahoma" w:hAnsi="Tahoma" w:cs="Tahoma"/>
          <w:b/>
          <w:bCs/>
          <w:sz w:val="24"/>
          <w:szCs w:val="24"/>
        </w:rPr>
        <w:t>2</w:t>
      </w:r>
    </w:p>
    <w:tbl>
      <w:tblPr>
        <w:tblStyle w:val="Tabela-Siatka"/>
        <w:tblW w:w="641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17"/>
        <w:gridCol w:w="2799"/>
        <w:gridCol w:w="941"/>
        <w:gridCol w:w="804"/>
        <w:gridCol w:w="1864"/>
        <w:gridCol w:w="1781"/>
      </w:tblGrid>
      <w:tr w:rsidR="001D53B4" w:rsidRPr="00E87EEB" w14:paraId="1B9E0AEA" w14:textId="77777777" w:rsidTr="00070BE7">
        <w:trPr>
          <w:trHeight w:val="1169"/>
        </w:trPr>
        <w:tc>
          <w:tcPr>
            <w:tcW w:w="331" w:type="pct"/>
            <w:shd w:val="clear" w:color="auto" w:fill="C5E0B3" w:themeFill="accent6" w:themeFillTint="66"/>
          </w:tcPr>
          <w:p w14:paraId="276F7D36" w14:textId="78B4F107" w:rsidR="001D53B4" w:rsidRPr="00E87EEB" w:rsidRDefault="001D53B4" w:rsidP="005709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4" w:type="pct"/>
            <w:gridSpan w:val="2"/>
            <w:shd w:val="clear" w:color="auto" w:fill="C5E0B3" w:themeFill="accent6" w:themeFillTint="66"/>
          </w:tcPr>
          <w:p w14:paraId="7B235728" w14:textId="5C628218" w:rsidR="001D53B4" w:rsidRPr="00E87EEB" w:rsidRDefault="001D53B4" w:rsidP="005709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439" w:type="pct"/>
            <w:shd w:val="clear" w:color="auto" w:fill="C5E0B3" w:themeFill="accent6" w:themeFillTint="66"/>
          </w:tcPr>
          <w:p w14:paraId="25C6B562" w14:textId="2B32437B" w:rsidR="001D53B4" w:rsidRPr="00E87EEB" w:rsidRDefault="001D53B4" w:rsidP="005709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375" w:type="pct"/>
            <w:shd w:val="clear" w:color="auto" w:fill="C5E0B3" w:themeFill="accent6" w:themeFillTint="66"/>
          </w:tcPr>
          <w:p w14:paraId="15D391DE" w14:textId="7EF98BF3" w:rsidR="001D53B4" w:rsidRPr="00E87EEB" w:rsidRDefault="001D53B4" w:rsidP="005709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870" w:type="pct"/>
            <w:shd w:val="clear" w:color="auto" w:fill="C5E0B3" w:themeFill="accent6" w:themeFillTint="66"/>
          </w:tcPr>
          <w:p w14:paraId="708FC0B2" w14:textId="55F58E28" w:rsidR="001D53B4" w:rsidRPr="00E87EEB" w:rsidRDefault="001D53B4" w:rsidP="005709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jednostkowa brutto (za 1 szt./op./zestaw)</w:t>
            </w:r>
          </w:p>
        </w:tc>
        <w:tc>
          <w:tcPr>
            <w:tcW w:w="831" w:type="pct"/>
            <w:shd w:val="clear" w:color="auto" w:fill="C5E0B3" w:themeFill="accent6" w:themeFillTint="66"/>
          </w:tcPr>
          <w:p w14:paraId="55E05EB4" w14:textId="71AD2850" w:rsidR="001D53B4" w:rsidRPr="00E87EEB" w:rsidRDefault="001D53B4" w:rsidP="005709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całkowita brutto</w:t>
            </w:r>
          </w:p>
        </w:tc>
      </w:tr>
      <w:tr w:rsidR="000F6A51" w:rsidRPr="00E87EEB" w14:paraId="57F53127" w14:textId="77777777" w:rsidTr="00070BE7">
        <w:tc>
          <w:tcPr>
            <w:tcW w:w="331" w:type="pct"/>
          </w:tcPr>
          <w:p w14:paraId="31836E96" w14:textId="77777777" w:rsidR="000F6A51" w:rsidRPr="00E87EEB" w:rsidRDefault="000F6A51" w:rsidP="000F6A51">
            <w:pPr>
              <w:pStyle w:val="Akapitzlist"/>
              <w:numPr>
                <w:ilvl w:val="0"/>
                <w:numId w:val="22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2CCC1336" w14:textId="05C282D4" w:rsidR="000F6A51" w:rsidRPr="000F6A51" w:rsidRDefault="000F6A51" w:rsidP="000F6A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 xml:space="preserve">Novel Juice (DNA Staining Reagent) </w:t>
            </w:r>
          </w:p>
        </w:tc>
        <w:tc>
          <w:tcPr>
            <w:tcW w:w="1306" w:type="pct"/>
          </w:tcPr>
          <w:p w14:paraId="2C09CFEA" w14:textId="33366D06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Barwnik fluorescencyjny do wizualizacji DNA w żelu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agarozowym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w świetle UV </w:t>
            </w:r>
          </w:p>
        </w:tc>
        <w:tc>
          <w:tcPr>
            <w:tcW w:w="439" w:type="pct"/>
          </w:tcPr>
          <w:p w14:paraId="6B37C8E0" w14:textId="2CFDF1D0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0F7A20EC" w14:textId="2001ECC6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14:paraId="5B4DBA33" w14:textId="4BD972A0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4FED26C5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45C0A7F6" w14:textId="77777777" w:rsidTr="00070BE7">
        <w:tc>
          <w:tcPr>
            <w:tcW w:w="331" w:type="pct"/>
          </w:tcPr>
          <w:p w14:paraId="746B79FC" w14:textId="77777777" w:rsidR="000F6A51" w:rsidRPr="00E87EEB" w:rsidRDefault="000F6A51" w:rsidP="000F6A51">
            <w:pPr>
              <w:pStyle w:val="Akapitzlist"/>
              <w:numPr>
                <w:ilvl w:val="0"/>
                <w:numId w:val="22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5A33AA10" w14:textId="668F7CF9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>Genomic DNA Isolation Kit (Blood/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>CuLtured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 xml:space="preserve"> Cell/Fungus) </w:t>
            </w:r>
          </w:p>
        </w:tc>
        <w:tc>
          <w:tcPr>
            <w:tcW w:w="1306" w:type="pct"/>
          </w:tcPr>
          <w:p w14:paraId="0B1008D9" w14:textId="6C81BC93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odczynników do izolacji całkowitego DNA z krwi, hodowli komórkowych i komórek grzybów</w:t>
            </w:r>
          </w:p>
        </w:tc>
        <w:tc>
          <w:tcPr>
            <w:tcW w:w="439" w:type="pct"/>
          </w:tcPr>
          <w:p w14:paraId="77C8CE60" w14:textId="64F830DA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013028EE" w14:textId="134096CB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2F9ED980" w14:textId="700F400F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7C0ACF53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49D62427" w14:textId="77777777" w:rsidTr="00070BE7">
        <w:tc>
          <w:tcPr>
            <w:tcW w:w="331" w:type="pct"/>
          </w:tcPr>
          <w:p w14:paraId="0AF873E5" w14:textId="77777777" w:rsidR="000F6A51" w:rsidRPr="00E87EEB" w:rsidRDefault="000F6A51" w:rsidP="000F6A51">
            <w:pPr>
              <w:pStyle w:val="Akapitzlist"/>
              <w:numPr>
                <w:ilvl w:val="0"/>
                <w:numId w:val="22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7882BE67" w14:textId="15DED01E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QPRO - BCA Kit Standard 20 - 2000 g/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mL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06" w:type="pct"/>
          </w:tcPr>
          <w:p w14:paraId="4ACF67AF" w14:textId="58BAD4E2" w:rsidR="000F6A51" w:rsidRPr="00E87EEB" w:rsidRDefault="000F6A51" w:rsidP="000F6A51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Test barwny do wykrywania obecności białek metodą kalorymetryczną </w:t>
            </w:r>
          </w:p>
        </w:tc>
        <w:tc>
          <w:tcPr>
            <w:tcW w:w="439" w:type="pct"/>
          </w:tcPr>
          <w:p w14:paraId="0177BCFB" w14:textId="30FAAD8A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11C97E91" w14:textId="0AB59978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7A0939EB" w14:textId="14197AC9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4EFFE3E2" w14:textId="77777777" w:rsidR="000F6A51" w:rsidRPr="00E87EEB" w:rsidRDefault="000F6A51" w:rsidP="000F6A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33B9" w:rsidRPr="00E87EEB" w14:paraId="18DCDFDF" w14:textId="77777777" w:rsidTr="002833B9">
        <w:tc>
          <w:tcPr>
            <w:tcW w:w="4169" w:type="pct"/>
            <w:gridSpan w:val="6"/>
          </w:tcPr>
          <w:p w14:paraId="3BECF4BB" w14:textId="447CF9DD" w:rsidR="002833B9" w:rsidRPr="00E87EEB" w:rsidRDefault="002833B9" w:rsidP="005709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831" w:type="pct"/>
          </w:tcPr>
          <w:p w14:paraId="0C758786" w14:textId="77777777" w:rsidR="002833B9" w:rsidRPr="00E87EEB" w:rsidRDefault="002833B9" w:rsidP="005709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3DCCE23" w14:textId="77777777" w:rsidR="002833B9" w:rsidRPr="00E87EEB" w:rsidRDefault="002833B9" w:rsidP="005709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6996B8C" w14:textId="77777777" w:rsidR="00582214" w:rsidRPr="00E87EEB" w:rsidRDefault="00582214" w:rsidP="00612A28">
      <w:pPr>
        <w:rPr>
          <w:rFonts w:ascii="Tahoma" w:hAnsi="Tahoma" w:cs="Tahoma"/>
          <w:b/>
          <w:bCs/>
          <w:sz w:val="24"/>
          <w:szCs w:val="24"/>
        </w:rPr>
      </w:pPr>
    </w:p>
    <w:p w14:paraId="60B05F2A" w14:textId="623C1EF9" w:rsidR="000F6A51" w:rsidRPr="00E87EEB" w:rsidRDefault="000F6A51" w:rsidP="000F6A51">
      <w:pPr>
        <w:rPr>
          <w:rFonts w:ascii="Tahoma" w:hAnsi="Tahoma" w:cs="Tahoma"/>
          <w:b/>
          <w:bCs/>
          <w:sz w:val="24"/>
          <w:szCs w:val="24"/>
        </w:rPr>
      </w:pPr>
      <w:r w:rsidRPr="00E87EEB">
        <w:rPr>
          <w:rFonts w:ascii="Tahoma" w:hAnsi="Tahoma" w:cs="Tahoma"/>
          <w:b/>
          <w:bCs/>
          <w:sz w:val="24"/>
          <w:szCs w:val="24"/>
        </w:rPr>
        <w:t xml:space="preserve">Część (pakiet) </w:t>
      </w:r>
      <w:r w:rsidR="00EE4680">
        <w:rPr>
          <w:rFonts w:ascii="Tahoma" w:hAnsi="Tahoma" w:cs="Tahoma"/>
          <w:b/>
          <w:bCs/>
          <w:sz w:val="24"/>
          <w:szCs w:val="24"/>
        </w:rPr>
        <w:t>3</w:t>
      </w:r>
    </w:p>
    <w:tbl>
      <w:tblPr>
        <w:tblStyle w:val="Tabela-Siatka"/>
        <w:tblW w:w="641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17"/>
        <w:gridCol w:w="2799"/>
        <w:gridCol w:w="941"/>
        <w:gridCol w:w="804"/>
        <w:gridCol w:w="1864"/>
        <w:gridCol w:w="1781"/>
      </w:tblGrid>
      <w:tr w:rsidR="000F6A51" w:rsidRPr="00E87EEB" w14:paraId="63F3EF2B" w14:textId="77777777" w:rsidTr="00947FD7">
        <w:trPr>
          <w:trHeight w:val="1169"/>
        </w:trPr>
        <w:tc>
          <w:tcPr>
            <w:tcW w:w="331" w:type="pct"/>
            <w:shd w:val="clear" w:color="auto" w:fill="C5E0B3" w:themeFill="accent6" w:themeFillTint="66"/>
          </w:tcPr>
          <w:p w14:paraId="693FBDAD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4" w:type="pct"/>
            <w:gridSpan w:val="2"/>
            <w:shd w:val="clear" w:color="auto" w:fill="C5E0B3" w:themeFill="accent6" w:themeFillTint="66"/>
          </w:tcPr>
          <w:p w14:paraId="4D5C7382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439" w:type="pct"/>
            <w:shd w:val="clear" w:color="auto" w:fill="C5E0B3" w:themeFill="accent6" w:themeFillTint="66"/>
          </w:tcPr>
          <w:p w14:paraId="6EC81E03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375" w:type="pct"/>
            <w:shd w:val="clear" w:color="auto" w:fill="C5E0B3" w:themeFill="accent6" w:themeFillTint="66"/>
          </w:tcPr>
          <w:p w14:paraId="0E34467D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870" w:type="pct"/>
            <w:shd w:val="clear" w:color="auto" w:fill="C5E0B3" w:themeFill="accent6" w:themeFillTint="66"/>
          </w:tcPr>
          <w:p w14:paraId="0680E462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jednostkowa brutto (za 1 szt./op./zestaw)</w:t>
            </w:r>
          </w:p>
        </w:tc>
        <w:tc>
          <w:tcPr>
            <w:tcW w:w="831" w:type="pct"/>
            <w:shd w:val="clear" w:color="auto" w:fill="C5E0B3" w:themeFill="accent6" w:themeFillTint="66"/>
          </w:tcPr>
          <w:p w14:paraId="19C63535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całkowita brutto</w:t>
            </w:r>
          </w:p>
        </w:tc>
      </w:tr>
      <w:tr w:rsidR="00EE4680" w:rsidRPr="00E87EEB" w14:paraId="1500218F" w14:textId="77777777" w:rsidTr="00947FD7">
        <w:tc>
          <w:tcPr>
            <w:tcW w:w="331" w:type="pct"/>
          </w:tcPr>
          <w:p w14:paraId="202B3850" w14:textId="77777777" w:rsidR="00EE4680" w:rsidRPr="00E87EEB" w:rsidRDefault="00EE4680" w:rsidP="00EE4680">
            <w:pPr>
              <w:pStyle w:val="Akapitzlist"/>
              <w:numPr>
                <w:ilvl w:val="0"/>
                <w:numId w:val="28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351C19EC" w14:textId="23CCFF81" w:rsidR="00EE4680" w:rsidRPr="00E87EEB" w:rsidRDefault="00EE4680" w:rsidP="00EE4680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do oznaczania markerów nowotworowych metodą ELISA </w:t>
            </w:r>
          </w:p>
        </w:tc>
        <w:tc>
          <w:tcPr>
            <w:tcW w:w="1306" w:type="pct"/>
          </w:tcPr>
          <w:p w14:paraId="121B49CE" w14:textId="7031AB97" w:rsidR="00EE4680" w:rsidRPr="00E87EEB" w:rsidRDefault="00EE4680" w:rsidP="00EE4680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oznaczania markerów nowotworowych metodą immunoenzymatyczną ELISA u myszy 96 prób</w:t>
            </w:r>
          </w:p>
        </w:tc>
        <w:tc>
          <w:tcPr>
            <w:tcW w:w="439" w:type="pct"/>
          </w:tcPr>
          <w:p w14:paraId="3BEB19DC" w14:textId="1398A5A7" w:rsidR="00EE4680" w:rsidRPr="00E87EEB" w:rsidRDefault="00EE4680" w:rsidP="00EE46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454BE556" w14:textId="403BA58E" w:rsidR="00EE4680" w:rsidRPr="00E87EEB" w:rsidRDefault="00EE4680" w:rsidP="00EE46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14:paraId="0BA9FAF9" w14:textId="77777777" w:rsidR="00EE4680" w:rsidRPr="00E87EEB" w:rsidRDefault="00EE4680" w:rsidP="00EE46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130DD70F" w14:textId="77777777" w:rsidR="00EE4680" w:rsidRPr="00E87EEB" w:rsidRDefault="00EE4680" w:rsidP="00EE46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1AB01BD7" w14:textId="77777777" w:rsidTr="00947FD7">
        <w:tc>
          <w:tcPr>
            <w:tcW w:w="4169" w:type="pct"/>
            <w:gridSpan w:val="6"/>
          </w:tcPr>
          <w:p w14:paraId="25D403FC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831" w:type="pct"/>
          </w:tcPr>
          <w:p w14:paraId="51A98F39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0E84BC8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F5D8A61" w14:textId="77777777" w:rsidR="00221E33" w:rsidRDefault="00221E33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39010A20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19149C86" w14:textId="77777777" w:rsidR="00EE4680" w:rsidRDefault="00EE4680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21F17E17" w14:textId="77777777" w:rsidR="00EE4680" w:rsidRDefault="00EE4680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4BB9530E" w14:textId="77777777" w:rsidR="00EE4680" w:rsidRDefault="00EE4680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5AF48F09" w14:textId="77777777" w:rsidR="00EE4680" w:rsidRDefault="00EE4680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17BDE9F9" w14:textId="36738E8A" w:rsidR="000F6A51" w:rsidRPr="00E87EEB" w:rsidRDefault="000F6A51" w:rsidP="000F6A51">
      <w:pPr>
        <w:rPr>
          <w:rFonts w:ascii="Tahoma" w:hAnsi="Tahoma" w:cs="Tahoma"/>
          <w:b/>
          <w:bCs/>
          <w:sz w:val="24"/>
          <w:szCs w:val="24"/>
        </w:rPr>
      </w:pPr>
      <w:r w:rsidRPr="00E87EEB">
        <w:rPr>
          <w:rFonts w:ascii="Tahoma" w:hAnsi="Tahoma" w:cs="Tahoma"/>
          <w:b/>
          <w:bCs/>
          <w:sz w:val="24"/>
          <w:szCs w:val="24"/>
        </w:rPr>
        <w:lastRenderedPageBreak/>
        <w:t xml:space="preserve">Część (pakiet) </w:t>
      </w:r>
      <w:r w:rsidR="00EE4680">
        <w:rPr>
          <w:rFonts w:ascii="Tahoma" w:hAnsi="Tahoma" w:cs="Tahoma"/>
          <w:b/>
          <w:bCs/>
          <w:sz w:val="24"/>
          <w:szCs w:val="24"/>
        </w:rPr>
        <w:t>4</w:t>
      </w:r>
    </w:p>
    <w:tbl>
      <w:tblPr>
        <w:tblStyle w:val="Tabela-Siatka"/>
        <w:tblW w:w="641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17"/>
        <w:gridCol w:w="2799"/>
        <w:gridCol w:w="941"/>
        <w:gridCol w:w="804"/>
        <w:gridCol w:w="1864"/>
        <w:gridCol w:w="1781"/>
      </w:tblGrid>
      <w:tr w:rsidR="000F6A51" w:rsidRPr="00E87EEB" w14:paraId="085E9AD8" w14:textId="77777777" w:rsidTr="00947FD7">
        <w:trPr>
          <w:trHeight w:val="1169"/>
        </w:trPr>
        <w:tc>
          <w:tcPr>
            <w:tcW w:w="331" w:type="pct"/>
            <w:shd w:val="clear" w:color="auto" w:fill="C5E0B3" w:themeFill="accent6" w:themeFillTint="66"/>
          </w:tcPr>
          <w:p w14:paraId="6BC5C268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4" w:type="pct"/>
            <w:gridSpan w:val="2"/>
            <w:shd w:val="clear" w:color="auto" w:fill="C5E0B3" w:themeFill="accent6" w:themeFillTint="66"/>
          </w:tcPr>
          <w:p w14:paraId="1CBFFE87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439" w:type="pct"/>
            <w:shd w:val="clear" w:color="auto" w:fill="C5E0B3" w:themeFill="accent6" w:themeFillTint="66"/>
          </w:tcPr>
          <w:p w14:paraId="0C944681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375" w:type="pct"/>
            <w:shd w:val="clear" w:color="auto" w:fill="C5E0B3" w:themeFill="accent6" w:themeFillTint="66"/>
          </w:tcPr>
          <w:p w14:paraId="2F6184F4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870" w:type="pct"/>
            <w:shd w:val="clear" w:color="auto" w:fill="C5E0B3" w:themeFill="accent6" w:themeFillTint="66"/>
          </w:tcPr>
          <w:p w14:paraId="4B36400F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jednostkowa brutto (za 1 szt./op./zestaw)</w:t>
            </w:r>
          </w:p>
        </w:tc>
        <w:tc>
          <w:tcPr>
            <w:tcW w:w="831" w:type="pct"/>
            <w:shd w:val="clear" w:color="auto" w:fill="C5E0B3" w:themeFill="accent6" w:themeFillTint="66"/>
          </w:tcPr>
          <w:p w14:paraId="7B445ADC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całkowita brutto</w:t>
            </w:r>
          </w:p>
        </w:tc>
      </w:tr>
      <w:tr w:rsidR="00BC00DE" w:rsidRPr="00E87EEB" w14:paraId="0134785E" w14:textId="77777777" w:rsidTr="00947FD7">
        <w:tc>
          <w:tcPr>
            <w:tcW w:w="331" w:type="pct"/>
          </w:tcPr>
          <w:p w14:paraId="3066F9C1" w14:textId="77777777" w:rsidR="00BC00DE" w:rsidRPr="00E87EEB" w:rsidRDefault="00BC00DE" w:rsidP="00BC00DE">
            <w:pPr>
              <w:pStyle w:val="Akapitzlist"/>
              <w:numPr>
                <w:ilvl w:val="0"/>
                <w:numId w:val="29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79883E2C" w14:textId="16FFD88F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do wykonania testu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Ames’a</w:t>
            </w:r>
            <w:proofErr w:type="spellEnd"/>
          </w:p>
        </w:tc>
        <w:tc>
          <w:tcPr>
            <w:tcW w:w="1306" w:type="pct"/>
          </w:tcPr>
          <w:p w14:paraId="218AF338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służący do określenia potencjału działania mutagennego związków chemicznych,  zawierający:</w:t>
            </w:r>
          </w:p>
          <w:p w14:paraId="6AA170CD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Szczep TA</w:t>
            </w:r>
          </w:p>
          <w:p w14:paraId="4E7150EC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Podłoże wzrostowe</w:t>
            </w:r>
          </w:p>
          <w:p w14:paraId="6C3A4F83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Ampicylinę</w:t>
            </w:r>
          </w:p>
          <w:p w14:paraId="1409565E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Podłoże do ekspozycji</w:t>
            </w:r>
          </w:p>
          <w:p w14:paraId="45431EB4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Kontrolę pozytywną</w:t>
            </w:r>
          </w:p>
          <w:p w14:paraId="7AC60EC0" w14:textId="3AFDAEF7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Podłoże wskaźnikowe</w:t>
            </w:r>
          </w:p>
        </w:tc>
        <w:tc>
          <w:tcPr>
            <w:tcW w:w="439" w:type="pct"/>
          </w:tcPr>
          <w:p w14:paraId="1B30C3D4" w14:textId="4F21E02D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38D55B08" w14:textId="1FCC0351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6C121287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0C5DAFF8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1B978432" w14:textId="77777777" w:rsidTr="00947FD7">
        <w:tc>
          <w:tcPr>
            <w:tcW w:w="4169" w:type="pct"/>
            <w:gridSpan w:val="6"/>
          </w:tcPr>
          <w:p w14:paraId="2D9447EE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831" w:type="pct"/>
          </w:tcPr>
          <w:p w14:paraId="2C9831EE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5C04157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1C9A563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4ADDC249" w14:textId="76A639D8" w:rsidR="000F6A51" w:rsidRPr="00E87EEB" w:rsidRDefault="000F6A51" w:rsidP="000F6A51">
      <w:pPr>
        <w:rPr>
          <w:rFonts w:ascii="Tahoma" w:hAnsi="Tahoma" w:cs="Tahoma"/>
          <w:b/>
          <w:bCs/>
          <w:sz w:val="24"/>
          <w:szCs w:val="24"/>
        </w:rPr>
      </w:pPr>
      <w:r w:rsidRPr="00E87EEB">
        <w:rPr>
          <w:rFonts w:ascii="Tahoma" w:hAnsi="Tahoma" w:cs="Tahoma"/>
          <w:b/>
          <w:bCs/>
          <w:sz w:val="24"/>
          <w:szCs w:val="24"/>
        </w:rPr>
        <w:t xml:space="preserve">Część (pakiet) </w:t>
      </w:r>
      <w:r w:rsidR="00BC00DE">
        <w:rPr>
          <w:rFonts w:ascii="Tahoma" w:hAnsi="Tahoma" w:cs="Tahoma"/>
          <w:b/>
          <w:bCs/>
          <w:sz w:val="24"/>
          <w:szCs w:val="24"/>
        </w:rPr>
        <w:t>5</w:t>
      </w:r>
    </w:p>
    <w:tbl>
      <w:tblPr>
        <w:tblStyle w:val="Tabela-Siatka"/>
        <w:tblW w:w="641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17"/>
        <w:gridCol w:w="2799"/>
        <w:gridCol w:w="941"/>
        <w:gridCol w:w="804"/>
        <w:gridCol w:w="1864"/>
        <w:gridCol w:w="1781"/>
      </w:tblGrid>
      <w:tr w:rsidR="000F6A51" w:rsidRPr="00E87EEB" w14:paraId="2591D01E" w14:textId="77777777" w:rsidTr="00947FD7">
        <w:trPr>
          <w:trHeight w:val="1169"/>
        </w:trPr>
        <w:tc>
          <w:tcPr>
            <w:tcW w:w="331" w:type="pct"/>
            <w:shd w:val="clear" w:color="auto" w:fill="C5E0B3" w:themeFill="accent6" w:themeFillTint="66"/>
          </w:tcPr>
          <w:p w14:paraId="38735764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4" w:type="pct"/>
            <w:gridSpan w:val="2"/>
            <w:shd w:val="clear" w:color="auto" w:fill="C5E0B3" w:themeFill="accent6" w:themeFillTint="66"/>
          </w:tcPr>
          <w:p w14:paraId="3BEC6E3F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439" w:type="pct"/>
            <w:shd w:val="clear" w:color="auto" w:fill="C5E0B3" w:themeFill="accent6" w:themeFillTint="66"/>
          </w:tcPr>
          <w:p w14:paraId="784E3555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375" w:type="pct"/>
            <w:shd w:val="clear" w:color="auto" w:fill="C5E0B3" w:themeFill="accent6" w:themeFillTint="66"/>
          </w:tcPr>
          <w:p w14:paraId="6B6104E6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870" w:type="pct"/>
            <w:shd w:val="clear" w:color="auto" w:fill="C5E0B3" w:themeFill="accent6" w:themeFillTint="66"/>
          </w:tcPr>
          <w:p w14:paraId="0405D1B0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jednostkowa brutto (za 1 szt./op./zestaw)</w:t>
            </w:r>
          </w:p>
        </w:tc>
        <w:tc>
          <w:tcPr>
            <w:tcW w:w="831" w:type="pct"/>
            <w:shd w:val="clear" w:color="auto" w:fill="C5E0B3" w:themeFill="accent6" w:themeFillTint="66"/>
          </w:tcPr>
          <w:p w14:paraId="6E49F03A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całkowita brutto</w:t>
            </w:r>
          </w:p>
        </w:tc>
      </w:tr>
      <w:tr w:rsidR="00BC00DE" w:rsidRPr="00E87EEB" w14:paraId="2981955B" w14:textId="77777777" w:rsidTr="00947FD7">
        <w:tc>
          <w:tcPr>
            <w:tcW w:w="331" w:type="pct"/>
          </w:tcPr>
          <w:p w14:paraId="65E9C9DD" w14:textId="77777777" w:rsidR="00BC00DE" w:rsidRPr="00E87EEB" w:rsidRDefault="00BC00DE" w:rsidP="00BC00DE">
            <w:pPr>
              <w:pStyle w:val="Akapitzlist"/>
              <w:numPr>
                <w:ilvl w:val="0"/>
                <w:numId w:val="30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54F2219D" w14:textId="6583C669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Alkohol etylowy absolutny 96%</w:t>
            </w:r>
          </w:p>
        </w:tc>
        <w:tc>
          <w:tcPr>
            <w:tcW w:w="1306" w:type="pct"/>
          </w:tcPr>
          <w:p w14:paraId="68006750" w14:textId="6C1D57C8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Alkohol etylowy absolutny 96% cz.d.a. 1000ml</w:t>
            </w:r>
          </w:p>
        </w:tc>
        <w:tc>
          <w:tcPr>
            <w:tcW w:w="439" w:type="pct"/>
          </w:tcPr>
          <w:p w14:paraId="72885BC0" w14:textId="4FF52FA2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7434BFF8" w14:textId="5861EA69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26B58A9A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1D92F304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51" w:rsidRPr="00E87EEB" w14:paraId="108460B0" w14:textId="77777777" w:rsidTr="00947FD7">
        <w:tc>
          <w:tcPr>
            <w:tcW w:w="4169" w:type="pct"/>
            <w:gridSpan w:val="6"/>
          </w:tcPr>
          <w:p w14:paraId="240B810D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831" w:type="pct"/>
          </w:tcPr>
          <w:p w14:paraId="6862A85C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BE1CD0E" w14:textId="77777777" w:rsidR="000F6A51" w:rsidRPr="00E87EEB" w:rsidRDefault="000F6A51" w:rsidP="00947F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DF540A9" w14:textId="77777777" w:rsidR="00BC00DE" w:rsidRDefault="00BC00DE" w:rsidP="000F6A51">
      <w:pPr>
        <w:rPr>
          <w:rFonts w:ascii="Tahoma" w:hAnsi="Tahoma" w:cs="Tahoma"/>
          <w:b/>
          <w:bCs/>
          <w:sz w:val="24"/>
          <w:szCs w:val="24"/>
        </w:rPr>
      </w:pPr>
    </w:p>
    <w:p w14:paraId="78B5C85B" w14:textId="74BE7A1E" w:rsidR="00BA4698" w:rsidRDefault="000F6A51" w:rsidP="004D512B">
      <w:pPr>
        <w:rPr>
          <w:rFonts w:ascii="Tahoma" w:hAnsi="Tahoma" w:cs="Tahoma"/>
          <w:b/>
          <w:bCs/>
          <w:sz w:val="24"/>
          <w:szCs w:val="24"/>
        </w:rPr>
      </w:pPr>
      <w:r w:rsidRPr="00E87EEB">
        <w:rPr>
          <w:rFonts w:ascii="Tahoma" w:hAnsi="Tahoma" w:cs="Tahoma"/>
          <w:b/>
          <w:bCs/>
          <w:sz w:val="24"/>
          <w:szCs w:val="24"/>
        </w:rPr>
        <w:t xml:space="preserve">Część (pakiet) </w:t>
      </w:r>
      <w:r w:rsidR="00BC00DE">
        <w:rPr>
          <w:rFonts w:ascii="Tahoma" w:hAnsi="Tahoma" w:cs="Tahoma"/>
          <w:b/>
          <w:bCs/>
          <w:sz w:val="24"/>
          <w:szCs w:val="24"/>
        </w:rPr>
        <w:t>6</w:t>
      </w:r>
    </w:p>
    <w:tbl>
      <w:tblPr>
        <w:tblStyle w:val="Tabela-Siatka"/>
        <w:tblW w:w="641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17"/>
        <w:gridCol w:w="2799"/>
        <w:gridCol w:w="941"/>
        <w:gridCol w:w="804"/>
        <w:gridCol w:w="1864"/>
        <w:gridCol w:w="1781"/>
      </w:tblGrid>
      <w:tr w:rsidR="00070BE7" w:rsidRPr="00E87EEB" w14:paraId="0EF7408D" w14:textId="77777777" w:rsidTr="000147FE">
        <w:trPr>
          <w:trHeight w:val="1169"/>
        </w:trPr>
        <w:tc>
          <w:tcPr>
            <w:tcW w:w="331" w:type="pct"/>
            <w:shd w:val="clear" w:color="auto" w:fill="C5E0B3" w:themeFill="accent6" w:themeFillTint="66"/>
          </w:tcPr>
          <w:p w14:paraId="02E9C9F1" w14:textId="77777777" w:rsidR="00070BE7" w:rsidRPr="00E87EEB" w:rsidRDefault="00070BE7" w:rsidP="000147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4" w:type="pct"/>
            <w:gridSpan w:val="2"/>
            <w:shd w:val="clear" w:color="auto" w:fill="C5E0B3" w:themeFill="accent6" w:themeFillTint="66"/>
          </w:tcPr>
          <w:p w14:paraId="5DF4C95D" w14:textId="77777777" w:rsidR="00070BE7" w:rsidRPr="00E87EEB" w:rsidRDefault="00070BE7" w:rsidP="000147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439" w:type="pct"/>
            <w:shd w:val="clear" w:color="auto" w:fill="C5E0B3" w:themeFill="accent6" w:themeFillTint="66"/>
          </w:tcPr>
          <w:p w14:paraId="12DDD214" w14:textId="77777777" w:rsidR="00070BE7" w:rsidRPr="00E87EEB" w:rsidRDefault="00070BE7" w:rsidP="000147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375" w:type="pct"/>
            <w:shd w:val="clear" w:color="auto" w:fill="C5E0B3" w:themeFill="accent6" w:themeFillTint="66"/>
          </w:tcPr>
          <w:p w14:paraId="62D0F2D9" w14:textId="77777777" w:rsidR="00070BE7" w:rsidRPr="00E87EEB" w:rsidRDefault="00070BE7" w:rsidP="000147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870" w:type="pct"/>
            <w:shd w:val="clear" w:color="auto" w:fill="C5E0B3" w:themeFill="accent6" w:themeFillTint="66"/>
          </w:tcPr>
          <w:p w14:paraId="050167C5" w14:textId="77777777" w:rsidR="00070BE7" w:rsidRPr="00E87EEB" w:rsidRDefault="00070BE7" w:rsidP="000147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jednostkowa brutto (za 1 szt./op./zestaw)</w:t>
            </w:r>
          </w:p>
        </w:tc>
        <w:tc>
          <w:tcPr>
            <w:tcW w:w="831" w:type="pct"/>
            <w:shd w:val="clear" w:color="auto" w:fill="C5E0B3" w:themeFill="accent6" w:themeFillTint="66"/>
          </w:tcPr>
          <w:p w14:paraId="21F6AA7D" w14:textId="77777777" w:rsidR="00070BE7" w:rsidRPr="00E87EEB" w:rsidRDefault="00070BE7" w:rsidP="000147F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Wartość całkowita brutto</w:t>
            </w:r>
          </w:p>
        </w:tc>
      </w:tr>
      <w:tr w:rsidR="00BC00DE" w:rsidRPr="00E87EEB" w14:paraId="4882A6EF" w14:textId="77777777" w:rsidTr="00EF4986">
        <w:tc>
          <w:tcPr>
            <w:tcW w:w="331" w:type="pct"/>
          </w:tcPr>
          <w:p w14:paraId="3E740B1C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</w:tcPr>
          <w:p w14:paraId="2360CE9E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Drabinka DNA 100BP</w:t>
            </w:r>
          </w:p>
          <w:p w14:paraId="04DAF942" w14:textId="65525A58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14:paraId="5F990269" w14:textId="50EAA7F5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Marker DNA do elektroforezy do 100 par zasad, zapakowany w sterylne opakowanie, umożliwiające mrożenie</w:t>
            </w:r>
          </w:p>
        </w:tc>
        <w:tc>
          <w:tcPr>
            <w:tcW w:w="439" w:type="pct"/>
          </w:tcPr>
          <w:p w14:paraId="0BFE6125" w14:textId="36F11550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  <w:shd w:val="clear" w:color="auto" w:fill="auto"/>
          </w:tcPr>
          <w:p w14:paraId="38E18A9B" w14:textId="6CC0F63A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3F8F1EB2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709969F4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482F96DE" w14:textId="77777777" w:rsidTr="000147FE">
        <w:tc>
          <w:tcPr>
            <w:tcW w:w="331" w:type="pct"/>
          </w:tcPr>
          <w:p w14:paraId="574AEAE0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70217B39" w14:textId="0B63D8F1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>Bufor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 xml:space="preserve"> TBS (20x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>stężony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  <w:lang w:val="en-US"/>
              </w:rPr>
              <w:t>) (0,5l)</w:t>
            </w:r>
          </w:p>
        </w:tc>
        <w:tc>
          <w:tcPr>
            <w:tcW w:w="1306" w:type="pct"/>
          </w:tcPr>
          <w:p w14:paraId="4F813078" w14:textId="0B1C7E2D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Bufor TBS 20x razy stężony przeznaczony do elektroforezy, pakowany w 0,5l butelkę</w:t>
            </w:r>
          </w:p>
        </w:tc>
        <w:tc>
          <w:tcPr>
            <w:tcW w:w="439" w:type="pct"/>
          </w:tcPr>
          <w:p w14:paraId="2A2D41B0" w14:textId="173F58A6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253DCB77" w14:textId="38A4E5D6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4EB3557E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50E3A4A1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749F5C13" w14:textId="77777777" w:rsidTr="000147FE">
        <w:tc>
          <w:tcPr>
            <w:tcW w:w="331" w:type="pct"/>
          </w:tcPr>
          <w:p w14:paraId="64BBAF71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0F46785E" w14:textId="37638BDA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Sonda SNP ludzki SM10</w:t>
            </w:r>
          </w:p>
        </w:tc>
        <w:tc>
          <w:tcPr>
            <w:tcW w:w="1306" w:type="pct"/>
          </w:tcPr>
          <w:p w14:paraId="1D845A5C" w14:textId="6C619BD6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Sonda genetyczna do oznaczenia polimorfizmu genu BCL-2, w reakcji PCR. Sonda zapakowana w sterylne opakowanie, nadające się do mrożenia.  Opakowanie sondy wyposażone w sterylny gumowy korek</w:t>
            </w:r>
          </w:p>
        </w:tc>
        <w:tc>
          <w:tcPr>
            <w:tcW w:w="439" w:type="pct"/>
          </w:tcPr>
          <w:p w14:paraId="798B3557" w14:textId="74C3E841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6C8A341A" w14:textId="3834901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14:paraId="0CFDC00F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7DBDC79A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1716F79E" w14:textId="77777777" w:rsidTr="000147FE">
        <w:tc>
          <w:tcPr>
            <w:tcW w:w="331" w:type="pct"/>
          </w:tcPr>
          <w:p w14:paraId="209C2BEE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224E1A03" w14:textId="3A899F96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Woda do PCR (0,5l)</w:t>
            </w:r>
          </w:p>
        </w:tc>
        <w:tc>
          <w:tcPr>
            <w:tcW w:w="1306" w:type="pct"/>
          </w:tcPr>
          <w:p w14:paraId="2948A2AF" w14:textId="677042B2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Sterylna woda wolna od enzymów tj.: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DNazy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i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RNazy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 Przeznaczona do biologii molekularnej. Pakowana w sterylne butelki o pojemności 0,5l</w:t>
            </w:r>
          </w:p>
        </w:tc>
        <w:tc>
          <w:tcPr>
            <w:tcW w:w="439" w:type="pct"/>
          </w:tcPr>
          <w:p w14:paraId="6295D2E3" w14:textId="2DEFB302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28C83AF6" w14:textId="7691D4BC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248AC9CF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7B6CC6E3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75AF959E" w14:textId="77777777" w:rsidTr="000147FE">
        <w:tc>
          <w:tcPr>
            <w:tcW w:w="331" w:type="pct"/>
          </w:tcPr>
          <w:p w14:paraId="67261355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3AC080CA" w14:textId="02501F75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Uniwersalny bufor reakcyjny do PCR (1ml)</w:t>
            </w:r>
          </w:p>
        </w:tc>
        <w:tc>
          <w:tcPr>
            <w:tcW w:w="1306" w:type="pct"/>
          </w:tcPr>
          <w:p w14:paraId="0619A838" w14:textId="0A455A2A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Bufor reakcyjny do reakcji PCR i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qPCR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, kompatybilny z komercyjnie dostępnymi sondami oraz starterami. Pakowany po 1ml</w:t>
            </w:r>
          </w:p>
        </w:tc>
        <w:tc>
          <w:tcPr>
            <w:tcW w:w="439" w:type="pct"/>
          </w:tcPr>
          <w:p w14:paraId="21570FDD" w14:textId="2C9D6E7D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24084882" w14:textId="76264E75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14:paraId="6CD2780B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61542F83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49441769" w14:textId="77777777" w:rsidTr="000147FE">
        <w:tc>
          <w:tcPr>
            <w:tcW w:w="331" w:type="pct"/>
          </w:tcPr>
          <w:p w14:paraId="6C0BD737" w14:textId="77777777" w:rsidR="00BC00DE" w:rsidRPr="0040434C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1D4C4CE6" w14:textId="3B189780" w:rsidR="00BC00DE" w:rsidRPr="0040434C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oznaczania stężenia żelaza w surowicy</w:t>
            </w:r>
          </w:p>
        </w:tc>
        <w:tc>
          <w:tcPr>
            <w:tcW w:w="1306" w:type="pct"/>
          </w:tcPr>
          <w:p w14:paraId="132EC709" w14:textId="6EB06706" w:rsidR="00BC00DE" w:rsidRPr="0040434C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50 oznaczeń żelaza w surowicy z wzorcem żelaza, przeznaczony do pomiaru absorbancji na spektrofotometrze</w:t>
            </w:r>
          </w:p>
        </w:tc>
        <w:tc>
          <w:tcPr>
            <w:tcW w:w="439" w:type="pct"/>
          </w:tcPr>
          <w:p w14:paraId="04964F95" w14:textId="7AC9E5F0" w:rsidR="00BC00DE" w:rsidRPr="0040434C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1577BA28" w14:textId="101D18F3" w:rsidR="00BC00DE" w:rsidRPr="0040434C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2D2D5EC2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4099043B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43D39EBD" w14:textId="77777777" w:rsidTr="000147FE">
        <w:tc>
          <w:tcPr>
            <w:tcW w:w="331" w:type="pct"/>
          </w:tcPr>
          <w:p w14:paraId="5442F807" w14:textId="77777777" w:rsidR="00BC00DE" w:rsidRPr="0040434C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2831F910" w14:textId="52322404" w:rsidR="00BC00DE" w:rsidRPr="0040434C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do oznaczania stężenia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wpania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w surowicy</w:t>
            </w:r>
          </w:p>
        </w:tc>
        <w:tc>
          <w:tcPr>
            <w:tcW w:w="1306" w:type="pct"/>
          </w:tcPr>
          <w:p w14:paraId="202CB075" w14:textId="56920A57" w:rsidR="00BC00DE" w:rsidRPr="0040434C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50 oznaczeń wapnia w surowicy z wzorcem wapnia, przeznaczony do pomiaru absorbancji na spektrofotometrze</w:t>
            </w:r>
          </w:p>
        </w:tc>
        <w:tc>
          <w:tcPr>
            <w:tcW w:w="439" w:type="pct"/>
          </w:tcPr>
          <w:p w14:paraId="6D7A4394" w14:textId="0EE3AE51" w:rsidR="00BC00DE" w:rsidRPr="0040434C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067F851F" w14:textId="3EDF1852" w:rsidR="00BC00DE" w:rsidRPr="0040434C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6522AF94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7EB6BF3E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052A021F" w14:textId="77777777" w:rsidTr="000147FE">
        <w:tc>
          <w:tcPr>
            <w:tcW w:w="331" w:type="pct"/>
          </w:tcPr>
          <w:p w14:paraId="287DA42F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4BFEB192" w14:textId="2840A253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oznaczania stężenia magnezu w surowicy</w:t>
            </w:r>
          </w:p>
        </w:tc>
        <w:tc>
          <w:tcPr>
            <w:tcW w:w="1306" w:type="pct"/>
          </w:tcPr>
          <w:p w14:paraId="04EF0808" w14:textId="644F7BEB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50 oznaczeń magnezu w surowicy z wzorcem magnezu, przeznaczony do pomiaru absorbancji na spektrofotometrze</w:t>
            </w:r>
          </w:p>
        </w:tc>
        <w:tc>
          <w:tcPr>
            <w:tcW w:w="439" w:type="pct"/>
          </w:tcPr>
          <w:p w14:paraId="6113D426" w14:textId="55EB2AE5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50BEAD51" w14:textId="697FCC4D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3E0BCB67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6586F320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147C482E" w14:textId="77777777" w:rsidTr="000147FE">
        <w:tc>
          <w:tcPr>
            <w:tcW w:w="331" w:type="pct"/>
          </w:tcPr>
          <w:p w14:paraId="37A01D87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63F75C86" w14:textId="7AC5FA02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oznaczania stężenia potasu w surowicy</w:t>
            </w:r>
          </w:p>
        </w:tc>
        <w:tc>
          <w:tcPr>
            <w:tcW w:w="1306" w:type="pct"/>
          </w:tcPr>
          <w:p w14:paraId="23A55E7E" w14:textId="7B5958C3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50 oznaczeń potasu w surowicy z wzorcem potasu, przeznaczony do pomiaru absorbancji na spektrofotometrze</w:t>
            </w:r>
          </w:p>
        </w:tc>
        <w:tc>
          <w:tcPr>
            <w:tcW w:w="439" w:type="pct"/>
          </w:tcPr>
          <w:p w14:paraId="1A26CB23" w14:textId="33BFF2EA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5D4BBC81" w14:textId="7E09767E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3D8B82F2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2C2B4ED7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6655E6C0" w14:textId="77777777" w:rsidTr="000147FE">
        <w:tc>
          <w:tcPr>
            <w:tcW w:w="331" w:type="pct"/>
          </w:tcPr>
          <w:p w14:paraId="7EE9B76B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4E41819A" w14:textId="2AC1A220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Surowica kontrolna do oznaczeń (20ml)</w:t>
            </w:r>
          </w:p>
        </w:tc>
        <w:tc>
          <w:tcPr>
            <w:tcW w:w="1306" w:type="pct"/>
          </w:tcPr>
          <w:p w14:paraId="4215DD97" w14:textId="726E77FF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Zliofilizowana, syntetyczna surowica zachowująca prawidłowe parametry. Gotowa do rozpuszczenia w wodzie</w:t>
            </w:r>
          </w:p>
        </w:tc>
        <w:tc>
          <w:tcPr>
            <w:tcW w:w="439" w:type="pct"/>
          </w:tcPr>
          <w:p w14:paraId="5BE2D23B" w14:textId="44A48AD3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27A7FC40" w14:textId="6715DD5E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7284DC6B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6E08E569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27CC5034" w14:textId="77777777" w:rsidTr="000147FE">
        <w:tc>
          <w:tcPr>
            <w:tcW w:w="331" w:type="pct"/>
          </w:tcPr>
          <w:p w14:paraId="25D34F74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369BD0A2" w14:textId="6FBF9A6B" w:rsidR="00BC00DE" w:rsidRPr="00E87EEB" w:rsidRDefault="00BC00DE" w:rsidP="00BC0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Surowica patologiczna do oznaczeń (20ml)</w:t>
            </w:r>
          </w:p>
        </w:tc>
        <w:tc>
          <w:tcPr>
            <w:tcW w:w="1306" w:type="pct"/>
          </w:tcPr>
          <w:p w14:paraId="593F7A3D" w14:textId="77777777" w:rsidR="00BC00DE" w:rsidRPr="00730667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Zliofilizowana, syntetyczna, patologiczna surowica. Gotowa do rozpuszczenia w wodzie</w:t>
            </w:r>
          </w:p>
          <w:p w14:paraId="129FB93C" w14:textId="2493E832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pct"/>
          </w:tcPr>
          <w:p w14:paraId="1491F93C" w14:textId="2D0871C4" w:rsidR="00BC00DE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375" w:type="pct"/>
          </w:tcPr>
          <w:p w14:paraId="3F131C62" w14:textId="22A1346A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5B34AE2C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0F0AAE45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74D54104" w14:textId="77777777" w:rsidTr="000147FE">
        <w:tc>
          <w:tcPr>
            <w:tcW w:w="331" w:type="pct"/>
          </w:tcPr>
          <w:p w14:paraId="7524FF54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276423D7" w14:textId="34017AB3" w:rsidR="00BC00DE" w:rsidRPr="00E87EEB" w:rsidRDefault="00BC00DE" w:rsidP="00BC0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do oznaczania stężenia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triglicerydów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w surowicy</w:t>
            </w:r>
          </w:p>
        </w:tc>
        <w:tc>
          <w:tcPr>
            <w:tcW w:w="1306" w:type="pct"/>
          </w:tcPr>
          <w:p w14:paraId="47BFBF5B" w14:textId="4EEA15DA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do 50 oznaczeń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Triglicerydów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 xml:space="preserve"> w surowicy z wzorcem </w:t>
            </w: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Triglicerydów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, przeznaczony do pomiaru absorbancji na spektrofotometrze</w:t>
            </w:r>
          </w:p>
        </w:tc>
        <w:tc>
          <w:tcPr>
            <w:tcW w:w="439" w:type="pct"/>
          </w:tcPr>
          <w:p w14:paraId="221CCE24" w14:textId="322D5013" w:rsidR="00BC00DE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461D0AE0" w14:textId="4E2C01D9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63371E5F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54950B09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0C49FD5F" w14:textId="77777777" w:rsidTr="000147FE">
        <w:tc>
          <w:tcPr>
            <w:tcW w:w="331" w:type="pct"/>
          </w:tcPr>
          <w:p w14:paraId="056E49F6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73180BE0" w14:textId="56775DC5" w:rsidR="00BC00DE" w:rsidRPr="00E87EEB" w:rsidRDefault="00BC00DE" w:rsidP="00BC0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oznaczania stężenia cholesterolu w surowicy</w:t>
            </w:r>
          </w:p>
        </w:tc>
        <w:tc>
          <w:tcPr>
            <w:tcW w:w="1306" w:type="pct"/>
          </w:tcPr>
          <w:p w14:paraId="7C8C8256" w14:textId="2D8286D9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50 oznaczeń cholesterolu w surowicy z wzorcem cholesterolu, przeznaczony do pomiaru absorbancji na spektrofotometrze</w:t>
            </w:r>
          </w:p>
        </w:tc>
        <w:tc>
          <w:tcPr>
            <w:tcW w:w="439" w:type="pct"/>
          </w:tcPr>
          <w:p w14:paraId="35712816" w14:textId="44BAA54D" w:rsidR="00BC00DE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511B9DCC" w14:textId="6DFCCDE8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2B8171BA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1FF4C583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149FBBFE" w14:textId="77777777" w:rsidTr="000147FE">
        <w:tc>
          <w:tcPr>
            <w:tcW w:w="331" w:type="pct"/>
          </w:tcPr>
          <w:p w14:paraId="172FE4BC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2366B666" w14:textId="088AEDC9" w:rsidR="00BC00DE" w:rsidRPr="00E87EEB" w:rsidRDefault="00BC00DE" w:rsidP="00BC0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oznaczania stężenia lipazy w surowicy</w:t>
            </w:r>
          </w:p>
        </w:tc>
        <w:tc>
          <w:tcPr>
            <w:tcW w:w="1306" w:type="pct"/>
          </w:tcPr>
          <w:p w14:paraId="36702013" w14:textId="6E1DD659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50 oznaczeń lipazy w surowicy z wzorcem lipazy, przeznaczony do pomiaru absorbancji na spektrofotometrze</w:t>
            </w:r>
          </w:p>
        </w:tc>
        <w:tc>
          <w:tcPr>
            <w:tcW w:w="439" w:type="pct"/>
          </w:tcPr>
          <w:p w14:paraId="068B5B83" w14:textId="029400F0" w:rsidR="00BC00DE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2B426591" w14:textId="7EA034CD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2D3F2F43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6C04F108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00DE" w:rsidRPr="00E87EEB" w14:paraId="7BE2F530" w14:textId="77777777" w:rsidTr="000147FE">
        <w:tc>
          <w:tcPr>
            <w:tcW w:w="331" w:type="pct"/>
          </w:tcPr>
          <w:p w14:paraId="20A9830C" w14:textId="77777777" w:rsidR="00BC00DE" w:rsidRPr="00E87EEB" w:rsidRDefault="00BC00DE" w:rsidP="00BC00DE">
            <w:pPr>
              <w:pStyle w:val="Akapitzlist"/>
              <w:numPr>
                <w:ilvl w:val="0"/>
                <w:numId w:val="27"/>
              </w:numPr>
              <w:tabs>
                <w:tab w:val="left" w:pos="34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8" w:type="pct"/>
          </w:tcPr>
          <w:p w14:paraId="22152A3E" w14:textId="5B9CE6C1" w:rsidR="00BC00DE" w:rsidRPr="00E87EEB" w:rsidRDefault="00BC00DE" w:rsidP="00BC0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Zestaw do oznaczania stężenia Białka w surowicy</w:t>
            </w:r>
          </w:p>
        </w:tc>
        <w:tc>
          <w:tcPr>
            <w:tcW w:w="1306" w:type="pct"/>
          </w:tcPr>
          <w:p w14:paraId="21025FEC" w14:textId="0B77DF5C" w:rsidR="00BC00DE" w:rsidRPr="00E87EEB" w:rsidRDefault="00BC00DE" w:rsidP="00BC00DE">
            <w:pPr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 xml:space="preserve">Zestaw do 50 oznaczeń Białka w surowicy z wzorcem Białka, przeznaczony do pomiaru absorbancji na spektrofotometrze. </w:t>
            </w:r>
          </w:p>
        </w:tc>
        <w:tc>
          <w:tcPr>
            <w:tcW w:w="439" w:type="pct"/>
          </w:tcPr>
          <w:p w14:paraId="73269A94" w14:textId="42569EFB" w:rsidR="00BC00DE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30667">
              <w:rPr>
                <w:rFonts w:ascii="Tahoma" w:hAnsi="Tahoma" w:cs="Tahoma"/>
                <w:sz w:val="24"/>
                <w:szCs w:val="24"/>
              </w:rPr>
              <w:t>zest</w:t>
            </w:r>
            <w:proofErr w:type="spellEnd"/>
            <w:r w:rsidRPr="0073066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2B05024C" w14:textId="6233FDB0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306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14:paraId="7A35F20D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" w:type="pct"/>
          </w:tcPr>
          <w:p w14:paraId="0293D1C4" w14:textId="77777777" w:rsidR="00BC00DE" w:rsidRPr="00E87EEB" w:rsidRDefault="00BC00DE" w:rsidP="00BC0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E44DD" w:rsidRPr="00E87EEB" w14:paraId="5244D6E6" w14:textId="77777777" w:rsidTr="005E44DD">
        <w:tc>
          <w:tcPr>
            <w:tcW w:w="4169" w:type="pct"/>
            <w:gridSpan w:val="6"/>
          </w:tcPr>
          <w:p w14:paraId="71B91D48" w14:textId="0108A86B" w:rsidR="005E44DD" w:rsidRPr="00E87EEB" w:rsidRDefault="005E44DD" w:rsidP="00070BE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E87EEB">
              <w:rPr>
                <w:rFonts w:ascii="Tahoma" w:hAnsi="Tahoma" w:cs="Tahoma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831" w:type="pct"/>
          </w:tcPr>
          <w:p w14:paraId="65A55561" w14:textId="77777777" w:rsidR="005E44DD" w:rsidRPr="00E87EEB" w:rsidRDefault="005E44DD" w:rsidP="00070B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2C95EC1" w14:textId="77777777" w:rsidR="005E44DD" w:rsidRPr="00E87EEB" w:rsidRDefault="005E44DD" w:rsidP="00070B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44A4A8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0D6E7622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3630EC1D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3A4C62FD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4F8BAD27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5D8DBE90" w14:textId="77777777" w:rsidR="00070BE7" w:rsidRDefault="00070BE7" w:rsidP="004D512B">
      <w:pPr>
        <w:rPr>
          <w:rFonts w:ascii="Tahoma" w:hAnsi="Tahoma" w:cs="Tahoma"/>
          <w:b/>
          <w:bCs/>
          <w:sz w:val="24"/>
          <w:szCs w:val="24"/>
        </w:rPr>
      </w:pPr>
    </w:p>
    <w:p w14:paraId="7A0100E8" w14:textId="77777777" w:rsidR="00363E19" w:rsidRPr="00E87EEB" w:rsidRDefault="00363E19" w:rsidP="007C0C7E">
      <w:pPr>
        <w:rPr>
          <w:rFonts w:ascii="Tahoma" w:hAnsi="Tahoma" w:cs="Tahoma"/>
          <w:b/>
          <w:bCs/>
          <w:sz w:val="24"/>
          <w:szCs w:val="24"/>
        </w:rPr>
      </w:pPr>
    </w:p>
    <w:p w14:paraId="1C47E0D6" w14:textId="77777777" w:rsidR="00292EA6" w:rsidRPr="00E87EEB" w:rsidRDefault="00292EA6" w:rsidP="007C0C7E">
      <w:pPr>
        <w:rPr>
          <w:rFonts w:ascii="Tahoma" w:hAnsi="Tahoma" w:cs="Tahoma"/>
          <w:b/>
          <w:bCs/>
          <w:sz w:val="24"/>
          <w:szCs w:val="24"/>
        </w:rPr>
      </w:pPr>
    </w:p>
    <w:p w14:paraId="47E8B72D" w14:textId="77777777" w:rsidR="004E4E40" w:rsidRPr="00E87EEB" w:rsidRDefault="004E4E40">
      <w:pPr>
        <w:rPr>
          <w:rFonts w:ascii="Tahoma" w:hAnsi="Tahoma" w:cs="Tahoma"/>
          <w:sz w:val="24"/>
          <w:szCs w:val="24"/>
        </w:rPr>
        <w:sectPr w:rsidR="004E4E40" w:rsidRPr="00E87EEB" w:rsidSect="00D20A2F">
          <w:pgSz w:w="11906" w:h="16838"/>
          <w:pgMar w:top="1417" w:right="2125" w:bottom="1417" w:left="1417" w:header="708" w:footer="708" w:gutter="0"/>
          <w:cols w:space="708"/>
          <w:docGrid w:linePitch="360"/>
        </w:sectPr>
      </w:pPr>
    </w:p>
    <w:p w14:paraId="05303302" w14:textId="77777777" w:rsidR="004E4E40" w:rsidRPr="00E87EEB" w:rsidRDefault="004E4E40" w:rsidP="003E5D15">
      <w:pPr>
        <w:rPr>
          <w:rFonts w:ascii="Tahoma" w:hAnsi="Tahoma" w:cs="Tahoma"/>
          <w:sz w:val="24"/>
          <w:szCs w:val="24"/>
        </w:rPr>
      </w:pPr>
    </w:p>
    <w:sectPr w:rsidR="004E4E40" w:rsidRPr="00E87EEB" w:rsidSect="00DD536E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tisSans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10E8"/>
    <w:multiLevelType w:val="hybridMultilevel"/>
    <w:tmpl w:val="8BC6B8F8"/>
    <w:lvl w:ilvl="0" w:tplc="D9CC22A8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CAA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78E2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85F"/>
    <w:multiLevelType w:val="hybridMultilevel"/>
    <w:tmpl w:val="6FB63138"/>
    <w:lvl w:ilvl="0" w:tplc="3ABCC9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6D4BC1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1675"/>
    <w:multiLevelType w:val="hybridMultilevel"/>
    <w:tmpl w:val="88E081E0"/>
    <w:lvl w:ilvl="0" w:tplc="B2DC5086">
      <w:start w:val="1"/>
      <w:numFmt w:val="decimal"/>
      <w:lvlText w:val="%1)"/>
      <w:lvlJc w:val="left"/>
      <w:pPr>
        <w:ind w:left="103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20FC17C4"/>
    <w:multiLevelType w:val="multilevel"/>
    <w:tmpl w:val="DDDA6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3673B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A7A1F"/>
    <w:multiLevelType w:val="hybridMultilevel"/>
    <w:tmpl w:val="5560C7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86879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0B82"/>
    <w:multiLevelType w:val="multilevel"/>
    <w:tmpl w:val="70DA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82CC5"/>
    <w:multiLevelType w:val="hybridMultilevel"/>
    <w:tmpl w:val="38C64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B0ABF"/>
    <w:multiLevelType w:val="multilevel"/>
    <w:tmpl w:val="075A8B90"/>
    <w:styleLink w:val="WW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13E4D68"/>
    <w:multiLevelType w:val="multilevel"/>
    <w:tmpl w:val="82D0E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13553C"/>
    <w:multiLevelType w:val="multilevel"/>
    <w:tmpl w:val="703E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64443"/>
    <w:multiLevelType w:val="multilevel"/>
    <w:tmpl w:val="109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6218A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E79D1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2983"/>
    <w:multiLevelType w:val="multilevel"/>
    <w:tmpl w:val="7EE82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17028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D4913"/>
    <w:multiLevelType w:val="multilevel"/>
    <w:tmpl w:val="66B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3145F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A5D20"/>
    <w:multiLevelType w:val="hybridMultilevel"/>
    <w:tmpl w:val="B2422E22"/>
    <w:lvl w:ilvl="0" w:tplc="897A7758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A0DDF"/>
    <w:multiLevelType w:val="hybridMultilevel"/>
    <w:tmpl w:val="C8FE6C8C"/>
    <w:lvl w:ilvl="0" w:tplc="E8025D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FD7BA5"/>
    <w:multiLevelType w:val="hybridMultilevel"/>
    <w:tmpl w:val="82C4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02D33"/>
    <w:multiLevelType w:val="multilevel"/>
    <w:tmpl w:val="6664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D5226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231C"/>
    <w:multiLevelType w:val="hybridMultilevel"/>
    <w:tmpl w:val="89DC5D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059A6"/>
    <w:multiLevelType w:val="hybridMultilevel"/>
    <w:tmpl w:val="FFF4E948"/>
    <w:lvl w:ilvl="0" w:tplc="082CC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7991"/>
    <w:multiLevelType w:val="hybridMultilevel"/>
    <w:tmpl w:val="019E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812AD"/>
    <w:multiLevelType w:val="multilevel"/>
    <w:tmpl w:val="7048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125123">
    <w:abstractNumId w:val="8"/>
  </w:num>
  <w:num w:numId="2" w16cid:durableId="1747149804">
    <w:abstractNumId w:val="4"/>
  </w:num>
  <w:num w:numId="3" w16cid:durableId="962686588">
    <w:abstractNumId w:val="29"/>
  </w:num>
  <w:num w:numId="4" w16cid:durableId="1042244043">
    <w:abstractNumId w:val="9"/>
  </w:num>
  <w:num w:numId="5" w16cid:durableId="592281593">
    <w:abstractNumId w:val="27"/>
  </w:num>
  <w:num w:numId="6" w16cid:durableId="1414083223">
    <w:abstractNumId w:val="10"/>
  </w:num>
  <w:num w:numId="7" w16cid:durableId="199786273">
    <w:abstractNumId w:val="14"/>
  </w:num>
  <w:num w:numId="8" w16cid:durableId="1548180805">
    <w:abstractNumId w:val="28"/>
  </w:num>
  <w:num w:numId="9" w16cid:durableId="812068162">
    <w:abstractNumId w:val="30"/>
  </w:num>
  <w:num w:numId="10" w16cid:durableId="1371761916">
    <w:abstractNumId w:val="23"/>
  </w:num>
  <w:num w:numId="11" w16cid:durableId="1918637833">
    <w:abstractNumId w:val="11"/>
  </w:num>
  <w:num w:numId="12" w16cid:durableId="1719277325">
    <w:abstractNumId w:val="15"/>
  </w:num>
  <w:num w:numId="13" w16cid:durableId="1897692467">
    <w:abstractNumId w:val="20"/>
  </w:num>
  <w:num w:numId="14" w16cid:durableId="1655832787">
    <w:abstractNumId w:val="6"/>
  </w:num>
  <w:num w:numId="15" w16cid:durableId="1196622645">
    <w:abstractNumId w:val="18"/>
  </w:num>
  <w:num w:numId="16" w16cid:durableId="1021783495">
    <w:abstractNumId w:val="13"/>
  </w:num>
  <w:num w:numId="17" w16cid:durableId="1553076854">
    <w:abstractNumId w:val="5"/>
  </w:num>
  <w:num w:numId="18" w16cid:durableId="1676961430">
    <w:abstractNumId w:val="24"/>
  </w:num>
  <w:num w:numId="19" w16cid:durableId="1191070217">
    <w:abstractNumId w:val="3"/>
  </w:num>
  <w:num w:numId="20" w16cid:durableId="1094781371">
    <w:abstractNumId w:val="12"/>
  </w:num>
  <w:num w:numId="21" w16cid:durableId="1651979122">
    <w:abstractNumId w:val="25"/>
  </w:num>
  <w:num w:numId="22" w16cid:durableId="37245993">
    <w:abstractNumId w:val="19"/>
  </w:num>
  <w:num w:numId="23" w16cid:durableId="339163890">
    <w:abstractNumId w:val="17"/>
  </w:num>
  <w:num w:numId="24" w16cid:durableId="348602124">
    <w:abstractNumId w:val="7"/>
  </w:num>
  <w:num w:numId="25" w16cid:durableId="1713655359">
    <w:abstractNumId w:val="0"/>
  </w:num>
  <w:num w:numId="26" w16cid:durableId="1735542353">
    <w:abstractNumId w:val="22"/>
  </w:num>
  <w:num w:numId="27" w16cid:durableId="1653218084">
    <w:abstractNumId w:val="16"/>
  </w:num>
  <w:num w:numId="28" w16cid:durableId="731537463">
    <w:abstractNumId w:val="1"/>
  </w:num>
  <w:num w:numId="29" w16cid:durableId="1364015683">
    <w:abstractNumId w:val="2"/>
  </w:num>
  <w:num w:numId="30" w16cid:durableId="877745277">
    <w:abstractNumId w:val="21"/>
  </w:num>
  <w:num w:numId="31" w16cid:durableId="110568821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D0"/>
    <w:rsid w:val="000356C7"/>
    <w:rsid w:val="00070BE7"/>
    <w:rsid w:val="000829D0"/>
    <w:rsid w:val="000A4E0D"/>
    <w:rsid w:val="000F6A51"/>
    <w:rsid w:val="0014598F"/>
    <w:rsid w:val="001D53B4"/>
    <w:rsid w:val="001E4EDA"/>
    <w:rsid w:val="001F4993"/>
    <w:rsid w:val="00214BE0"/>
    <w:rsid w:val="00221E33"/>
    <w:rsid w:val="00226FD7"/>
    <w:rsid w:val="00256393"/>
    <w:rsid w:val="002833B9"/>
    <w:rsid w:val="00292EA6"/>
    <w:rsid w:val="002D5B0B"/>
    <w:rsid w:val="003029FE"/>
    <w:rsid w:val="00363548"/>
    <w:rsid w:val="00363E19"/>
    <w:rsid w:val="003B5C2D"/>
    <w:rsid w:val="003D7E26"/>
    <w:rsid w:val="003E5D15"/>
    <w:rsid w:val="0040434C"/>
    <w:rsid w:val="004121CC"/>
    <w:rsid w:val="00415A53"/>
    <w:rsid w:val="00436763"/>
    <w:rsid w:val="0044624B"/>
    <w:rsid w:val="004A19C9"/>
    <w:rsid w:val="004A637C"/>
    <w:rsid w:val="004D512B"/>
    <w:rsid w:val="004E4E40"/>
    <w:rsid w:val="00582214"/>
    <w:rsid w:val="005A0CE6"/>
    <w:rsid w:val="005B1B19"/>
    <w:rsid w:val="005B4A00"/>
    <w:rsid w:val="005C6C3F"/>
    <w:rsid w:val="005E44DD"/>
    <w:rsid w:val="00612A28"/>
    <w:rsid w:val="00626AD8"/>
    <w:rsid w:val="00642E7B"/>
    <w:rsid w:val="00663968"/>
    <w:rsid w:val="0068338C"/>
    <w:rsid w:val="0071202A"/>
    <w:rsid w:val="00713B9F"/>
    <w:rsid w:val="00762824"/>
    <w:rsid w:val="00774CE6"/>
    <w:rsid w:val="007B71D8"/>
    <w:rsid w:val="007C0C7E"/>
    <w:rsid w:val="007F13D0"/>
    <w:rsid w:val="008A7277"/>
    <w:rsid w:val="008E1EFB"/>
    <w:rsid w:val="008E3DFA"/>
    <w:rsid w:val="008F1C66"/>
    <w:rsid w:val="009015B0"/>
    <w:rsid w:val="00912999"/>
    <w:rsid w:val="009A2ED3"/>
    <w:rsid w:val="009A5A6B"/>
    <w:rsid w:val="009E541A"/>
    <w:rsid w:val="009F3F1A"/>
    <w:rsid w:val="00A028E8"/>
    <w:rsid w:val="00A35317"/>
    <w:rsid w:val="00A93BD8"/>
    <w:rsid w:val="00B91A4B"/>
    <w:rsid w:val="00BA4698"/>
    <w:rsid w:val="00BC00DE"/>
    <w:rsid w:val="00BC115D"/>
    <w:rsid w:val="00BE0C45"/>
    <w:rsid w:val="00BF6122"/>
    <w:rsid w:val="00CA5361"/>
    <w:rsid w:val="00CC61F4"/>
    <w:rsid w:val="00D20A2F"/>
    <w:rsid w:val="00D30626"/>
    <w:rsid w:val="00D919E6"/>
    <w:rsid w:val="00D95E4A"/>
    <w:rsid w:val="00DA1D0E"/>
    <w:rsid w:val="00DD536E"/>
    <w:rsid w:val="00DF0C5A"/>
    <w:rsid w:val="00E003CC"/>
    <w:rsid w:val="00E13C12"/>
    <w:rsid w:val="00E511E1"/>
    <w:rsid w:val="00E87EEB"/>
    <w:rsid w:val="00E9022B"/>
    <w:rsid w:val="00EE4444"/>
    <w:rsid w:val="00EE4680"/>
    <w:rsid w:val="00F254D5"/>
    <w:rsid w:val="00F408E0"/>
    <w:rsid w:val="00F4303C"/>
    <w:rsid w:val="00F4673A"/>
    <w:rsid w:val="00F46A9F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D26C"/>
  <w15:chartTrackingRefBased/>
  <w15:docId w15:val="{5FCB2C6E-D303-4759-83AA-F3AF6553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17"/>
  </w:style>
  <w:style w:type="paragraph" w:styleId="Nagwek1">
    <w:name w:val="heading 1"/>
    <w:basedOn w:val="Normalny"/>
    <w:next w:val="Normalny"/>
    <w:link w:val="Nagwek1Znak"/>
    <w:uiPriority w:val="9"/>
    <w:qFormat/>
    <w:rsid w:val="004D512B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512B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12B"/>
    <w:pPr>
      <w:keepNext/>
      <w:keepLines/>
      <w:spacing w:before="160" w:after="80"/>
      <w:outlineLvl w:val="2"/>
    </w:pPr>
    <w:rPr>
      <w:rFonts w:ascii="Aptos" w:eastAsia="Times New Roman" w:hAnsi="Aptos" w:cs="Times New Roman"/>
      <w:color w:val="0F4761"/>
      <w:sz w:val="28"/>
      <w:szCs w:val="28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12B"/>
    <w:pPr>
      <w:keepNext/>
      <w:keepLines/>
      <w:spacing w:before="80" w:after="40"/>
      <w:outlineLvl w:val="3"/>
    </w:pPr>
    <w:rPr>
      <w:rFonts w:ascii="Aptos" w:eastAsia="Times New Roman" w:hAnsi="Aptos" w:cs="Times New Roman"/>
      <w:i/>
      <w:iCs/>
      <w:color w:val="0F4761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12B"/>
    <w:pPr>
      <w:keepNext/>
      <w:keepLines/>
      <w:spacing w:before="80" w:after="40"/>
      <w:outlineLvl w:val="4"/>
    </w:pPr>
    <w:rPr>
      <w:rFonts w:ascii="Aptos" w:eastAsia="Times New Roman" w:hAnsi="Aptos" w:cs="Times New Roman"/>
      <w:color w:val="0F4761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12B"/>
    <w:pPr>
      <w:keepNext/>
      <w:keepLines/>
      <w:spacing w:before="40" w:after="0"/>
      <w:outlineLvl w:val="5"/>
    </w:pPr>
    <w:rPr>
      <w:rFonts w:ascii="Aptos" w:eastAsia="Times New Roman" w:hAnsi="Aptos" w:cs="Times New Roman"/>
      <w:i/>
      <w:iCs/>
      <w:color w:val="595959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12B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12B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12B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317"/>
    <w:pPr>
      <w:ind w:left="720"/>
      <w:contextualSpacing/>
    </w:pPr>
  </w:style>
  <w:style w:type="table" w:styleId="Tabela-Siatka">
    <w:name w:val="Table Grid"/>
    <w:basedOn w:val="Standardowy"/>
    <w:uiPriority w:val="39"/>
    <w:rsid w:val="00A3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531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D512B"/>
    <w:rPr>
      <w:rFonts w:ascii="Aptos Display" w:eastAsia="Times New Roman" w:hAnsi="Aptos Display" w:cs="Times New Roman"/>
      <w:color w:val="0F4761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D512B"/>
    <w:rPr>
      <w:rFonts w:ascii="Aptos Display" w:eastAsia="Times New Roman" w:hAnsi="Aptos Display" w:cs="Times New Roman"/>
      <w:color w:val="0F4761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12B"/>
    <w:rPr>
      <w:rFonts w:ascii="Aptos" w:eastAsia="Times New Roman" w:hAnsi="Aptos" w:cs="Times New Roman"/>
      <w:color w:val="0F4761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12B"/>
    <w:rPr>
      <w:rFonts w:ascii="Aptos" w:eastAsia="Times New Roman" w:hAnsi="Aptos" w:cs="Times New Roman"/>
      <w:i/>
      <w:iCs/>
      <w:color w:val="0F4761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12B"/>
    <w:rPr>
      <w:rFonts w:ascii="Aptos" w:eastAsia="Times New Roman" w:hAnsi="Aptos" w:cs="Times New Roman"/>
      <w:color w:val="0F4761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12B"/>
    <w:rPr>
      <w:rFonts w:ascii="Aptos" w:eastAsia="Times New Roman" w:hAnsi="Aptos" w:cs="Times New Roman"/>
      <w:i/>
      <w:iCs/>
      <w:color w:val="595959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12B"/>
    <w:rPr>
      <w:rFonts w:ascii="Aptos" w:eastAsia="Times New Roman" w:hAnsi="Aptos" w:cs="Times New Roman"/>
      <w:color w:val="595959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12B"/>
    <w:rPr>
      <w:rFonts w:ascii="Aptos" w:eastAsia="Times New Roman" w:hAnsi="Aptos" w:cs="Times New Roman"/>
      <w:i/>
      <w:iCs/>
      <w:color w:val="272727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12B"/>
    <w:rPr>
      <w:rFonts w:ascii="Aptos" w:eastAsia="Times New Roman" w:hAnsi="Aptos" w:cs="Times New Roman"/>
      <w:color w:val="272727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D512B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4D512B"/>
    <w:rPr>
      <w:rFonts w:ascii="Aptos Display" w:eastAsia="Times New Roman" w:hAnsi="Aptos Display" w:cs="Times New Roman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12B"/>
    <w:pPr>
      <w:numPr>
        <w:ilvl w:val="1"/>
      </w:numPr>
    </w:pPr>
    <w:rPr>
      <w:rFonts w:ascii="Aptos" w:eastAsia="Times New Roman" w:hAnsi="Aptos" w:cs="Times New Roman"/>
      <w:color w:val="595959"/>
      <w:spacing w:val="15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4D512B"/>
    <w:rPr>
      <w:rFonts w:ascii="Aptos" w:eastAsia="Times New Roman" w:hAnsi="Aptos" w:cs="Times New Roman"/>
      <w:color w:val="595959"/>
      <w:spacing w:val="15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D512B"/>
    <w:pPr>
      <w:spacing w:before="160"/>
      <w:jc w:val="center"/>
    </w:pPr>
    <w:rPr>
      <w:rFonts w:ascii="Aptos" w:eastAsia="Aptos" w:hAnsi="Aptos" w:cs="Times New Roman"/>
      <w:i/>
      <w:iCs/>
      <w:color w:val="404040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4D512B"/>
    <w:rPr>
      <w:rFonts w:ascii="Aptos" w:eastAsia="Aptos" w:hAnsi="Aptos" w:cs="Times New Roman"/>
      <w:i/>
      <w:iCs/>
      <w:color w:val="404040"/>
      <w14:ligatures w14:val="none"/>
    </w:rPr>
  </w:style>
  <w:style w:type="character" w:styleId="Wyrnienieintensywne">
    <w:name w:val="Intense Emphasis"/>
    <w:uiPriority w:val="21"/>
    <w:qFormat/>
    <w:rsid w:val="004D512B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12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 w:cs="Times New Roman"/>
      <w:i/>
      <w:iCs/>
      <w:color w:val="0F4761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12B"/>
    <w:rPr>
      <w:rFonts w:ascii="Aptos" w:eastAsia="Aptos" w:hAnsi="Aptos" w:cs="Times New Roman"/>
      <w:i/>
      <w:iCs/>
      <w:color w:val="0F4761"/>
      <w14:ligatures w14:val="none"/>
    </w:rPr>
  </w:style>
  <w:style w:type="character" w:styleId="Odwoanieintensywne">
    <w:name w:val="Intense Reference"/>
    <w:uiPriority w:val="32"/>
    <w:qFormat/>
    <w:rsid w:val="004D512B"/>
    <w:rPr>
      <w:b/>
      <w:bCs/>
      <w:smallCaps/>
      <w:color w:val="0F4761"/>
      <w:spacing w:val="5"/>
    </w:rPr>
  </w:style>
  <w:style w:type="character" w:styleId="Pogrubienie">
    <w:name w:val="Strong"/>
    <w:uiPriority w:val="22"/>
    <w:qFormat/>
    <w:rsid w:val="004D512B"/>
    <w:rPr>
      <w:b/>
      <w:bCs/>
    </w:rPr>
  </w:style>
  <w:style w:type="paragraph" w:styleId="NormalnyWeb">
    <w:name w:val="Normal (Web)"/>
    <w:basedOn w:val="Normalny"/>
    <w:uiPriority w:val="99"/>
    <w:unhideWhenUsed/>
    <w:rsid w:val="004D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loudtriger">
    <w:name w:val="cloud_triger"/>
    <w:rsid w:val="004D512B"/>
  </w:style>
  <w:style w:type="character" w:customStyle="1" w:styleId="znaklexi">
    <w:name w:val="znak_lexi"/>
    <w:rsid w:val="004D512B"/>
  </w:style>
  <w:style w:type="character" w:customStyle="1" w:styleId="apple-converted-space">
    <w:name w:val="apple-converted-space"/>
    <w:basedOn w:val="Domylnaczcionkaakapitu"/>
    <w:rsid w:val="004E4E40"/>
  </w:style>
  <w:style w:type="paragraph" w:customStyle="1" w:styleId="Standard">
    <w:name w:val="Standard"/>
    <w:rsid w:val="004E4E40"/>
    <w:pPr>
      <w:suppressAutoHyphens/>
      <w:autoSpaceDN w:val="0"/>
      <w:spacing w:line="254" w:lineRule="auto"/>
      <w:textAlignment w:val="baseline"/>
    </w:pPr>
    <w:rPr>
      <w:rFonts w:ascii="RotisSansSerif" w:eastAsia="SimSun" w:hAnsi="RotisSansSerif" w:cs="Calibri"/>
      <w:kern w:val="3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4E4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3F1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F3F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3F1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F3F1A"/>
    <w:rPr>
      <w:kern w:val="0"/>
      <w14:ligatures w14:val="none"/>
    </w:rPr>
  </w:style>
  <w:style w:type="numbering" w:customStyle="1" w:styleId="WWNum1">
    <w:name w:val="WWNum1"/>
    <w:basedOn w:val="Bezlisty"/>
    <w:rsid w:val="009F3F1A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F1A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F1A"/>
    <w:rPr>
      <w:rFonts w:ascii="Tahoma" w:hAnsi="Tahoma" w:cs="Tahoma"/>
      <w:kern w:val="0"/>
      <w:sz w:val="16"/>
      <w:szCs w:val="16"/>
      <w14:ligatures w14:val="none"/>
    </w:rPr>
  </w:style>
  <w:style w:type="numbering" w:customStyle="1" w:styleId="WWNum11">
    <w:name w:val="WWNum11"/>
    <w:basedOn w:val="Bezlisty"/>
    <w:rsid w:val="009F3F1A"/>
  </w:style>
  <w:style w:type="numbering" w:customStyle="1" w:styleId="WWNum12">
    <w:name w:val="WWNum12"/>
    <w:basedOn w:val="Bezlisty"/>
    <w:rsid w:val="009F3F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F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F1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F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1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1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1A"/>
    <w:rPr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F1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3F1A"/>
    <w:rPr>
      <w:color w:val="954F72" w:themeColor="followedHyperlink"/>
      <w:u w:val="single"/>
    </w:rPr>
  </w:style>
  <w:style w:type="paragraph" w:customStyle="1" w:styleId="Tekstcofnity">
    <w:name w:val="Tekst_cofnięty"/>
    <w:basedOn w:val="Normalny"/>
    <w:rsid w:val="00DA1D0E"/>
    <w:pPr>
      <w:widowControl w:val="0"/>
      <w:suppressAutoHyphens/>
      <w:autoSpaceDN w:val="0"/>
      <w:spacing w:after="0" w:line="360" w:lineRule="auto"/>
      <w:ind w:left="540"/>
      <w:textAlignment w:val="baseline"/>
    </w:pPr>
    <w:rPr>
      <w:rFonts w:ascii="Times New Roman" w:eastAsia="Lucida Sans Unicode" w:hAnsi="Times New Roman" w:cs="Times New Roman"/>
      <w:kern w:val="0"/>
      <w:sz w:val="24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79AB-005D-4191-9F79-FB99395F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Antonowicz</dc:creator>
  <cp:keywords/>
  <dc:description/>
  <cp:lastModifiedBy>k.kaminska Katarzyna Kamińska</cp:lastModifiedBy>
  <cp:revision>38</cp:revision>
  <cp:lastPrinted>2024-09-06T07:37:00Z</cp:lastPrinted>
  <dcterms:created xsi:type="dcterms:W3CDTF">2024-09-09T07:12:00Z</dcterms:created>
  <dcterms:modified xsi:type="dcterms:W3CDTF">2024-11-19T12:20:00Z</dcterms:modified>
</cp:coreProperties>
</file>