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BC38E" w14:textId="10B35E60" w:rsidR="00BB7E9B" w:rsidRPr="00BB7E9B" w:rsidRDefault="00BB7E9B" w:rsidP="00BB7E9B">
      <w:pPr>
        <w:pStyle w:val="Tekstpodstawowy21"/>
        <w:spacing w:before="100"/>
        <w:jc w:val="right"/>
        <w:rPr>
          <w:rFonts w:ascii="Tahoma" w:hAnsi="Tahoma"/>
          <w:b/>
          <w:sz w:val="20"/>
        </w:rPr>
      </w:pPr>
      <w:r w:rsidRPr="00BB7E9B">
        <w:rPr>
          <w:rFonts w:ascii="Tahoma" w:hAnsi="Tahoma"/>
          <w:b/>
          <w:sz w:val="20"/>
        </w:rPr>
        <w:t>Załącznik nr 6</w:t>
      </w:r>
    </w:p>
    <w:p w14:paraId="4EA2740A" w14:textId="54B30E63" w:rsidR="002B4914" w:rsidRPr="00114BA6" w:rsidRDefault="00F417A1" w:rsidP="00114BA6">
      <w:pPr>
        <w:pStyle w:val="Tekstpodstawowy21"/>
        <w:spacing w:before="100"/>
        <w:rPr>
          <w:rFonts w:ascii="Tahoma" w:hAnsi="Tahoma"/>
          <w:color w:val="0070C0"/>
          <w:sz w:val="20"/>
        </w:rPr>
      </w:pPr>
      <w:r w:rsidRPr="00114BA6">
        <w:rPr>
          <w:rFonts w:ascii="Tahoma" w:hAnsi="Tahoma"/>
          <w:b/>
          <w:color w:val="0070C0"/>
          <w:sz w:val="20"/>
          <w:u w:val="single"/>
        </w:rPr>
        <w:t xml:space="preserve">ISTOTNE POSTANOWIENIA UMOWY </w:t>
      </w:r>
    </w:p>
    <w:p w14:paraId="48D946D8" w14:textId="77777777" w:rsidR="002B4914" w:rsidRPr="00114BA6" w:rsidRDefault="00F417A1" w:rsidP="00114BA6">
      <w:pPr>
        <w:pStyle w:val="Tekstpodstawowy21"/>
        <w:spacing w:before="100"/>
        <w:rPr>
          <w:rFonts w:ascii="Tahoma" w:hAnsi="Tahoma"/>
          <w:sz w:val="20"/>
        </w:rPr>
      </w:pPr>
      <w:r w:rsidRPr="00114BA6">
        <w:rPr>
          <w:rFonts w:ascii="Tahoma" w:hAnsi="Tahoma"/>
          <w:sz w:val="20"/>
        </w:rPr>
        <w:t>ISTOTNE POSTANOWIENIA UMOWY:</w:t>
      </w:r>
    </w:p>
    <w:p w14:paraId="527FB884" w14:textId="77777777" w:rsidR="002B4914" w:rsidRPr="00114BA6" w:rsidRDefault="00F417A1" w:rsidP="00114BA6">
      <w:pPr>
        <w:pStyle w:val="Styl1"/>
        <w:numPr>
          <w:ilvl w:val="0"/>
          <w:numId w:val="5"/>
        </w:numPr>
        <w:rPr>
          <w:rFonts w:cs="Tahoma"/>
          <w:sz w:val="20"/>
          <w:szCs w:val="20"/>
        </w:rPr>
      </w:pPr>
      <w:r w:rsidRPr="00114BA6">
        <w:rPr>
          <w:rFonts w:cs="Tahoma"/>
          <w:sz w:val="20"/>
          <w:szCs w:val="20"/>
        </w:rPr>
        <w:t xml:space="preserve">Przedmiotem umowy jest zakup </w:t>
      </w:r>
      <w:r w:rsidRPr="00114BA6">
        <w:rPr>
          <w:rFonts w:cs="Tahoma"/>
          <w:b/>
          <w:bCs/>
          <w:color w:val="4472C4" w:themeColor="accent1"/>
          <w:sz w:val="20"/>
          <w:szCs w:val="20"/>
        </w:rPr>
        <w:t>KOMPLEKSOWA DOSTAWA  GAZU ZIEMNEGO OBEJMUJĄCA SPRZEDAŻ I DYSTRYBUCJĘ DLA POTRZEB OBIEKTÓW  WS-SPZOZ W ZGORZELCU.</w:t>
      </w:r>
      <w:r w:rsidRPr="00114BA6">
        <w:rPr>
          <w:rFonts w:cs="Tahoma"/>
          <w:color w:val="4472C4" w:themeColor="accent1"/>
          <w:sz w:val="20"/>
          <w:szCs w:val="20"/>
        </w:rPr>
        <w:t xml:space="preserve"> </w:t>
      </w:r>
    </w:p>
    <w:p w14:paraId="08D676F3" w14:textId="31A1AAE3" w:rsidR="002B4914" w:rsidRPr="00114BA6" w:rsidRDefault="00F417A1" w:rsidP="00114BA6">
      <w:pPr>
        <w:pStyle w:val="Styl1"/>
        <w:numPr>
          <w:ilvl w:val="0"/>
          <w:numId w:val="1"/>
        </w:numPr>
        <w:rPr>
          <w:rFonts w:cs="Tahoma"/>
          <w:sz w:val="20"/>
          <w:szCs w:val="20"/>
        </w:rPr>
      </w:pPr>
      <w:r w:rsidRPr="00114BA6">
        <w:rPr>
          <w:rFonts w:cs="Tahoma"/>
          <w:sz w:val="20"/>
          <w:szCs w:val="20"/>
        </w:rPr>
        <w:t xml:space="preserve">Umowa zostanie zawarta na czas określony </w:t>
      </w:r>
      <w:r w:rsidR="002B2E31" w:rsidRPr="00114BA6">
        <w:rPr>
          <w:rFonts w:cs="Tahoma"/>
          <w:b/>
          <w:sz w:val="20"/>
          <w:szCs w:val="20"/>
        </w:rPr>
        <w:t>12 miesięcy od dnia zawarcia umowy (lecz nie wcześniej niż po zawarciu umowy sprzedaży gazu oraz pozytywnie przeprowadzonej procedurze zmiany sprzedawcy).</w:t>
      </w:r>
    </w:p>
    <w:p w14:paraId="269DF756" w14:textId="19FDE6BE" w:rsidR="002B4914" w:rsidRPr="00114BA6" w:rsidRDefault="00F417A1" w:rsidP="00114BA6">
      <w:pPr>
        <w:pStyle w:val="Styl1"/>
        <w:numPr>
          <w:ilvl w:val="0"/>
          <w:numId w:val="1"/>
        </w:numPr>
        <w:rPr>
          <w:rFonts w:cs="Tahoma"/>
          <w:sz w:val="20"/>
          <w:szCs w:val="20"/>
        </w:rPr>
      </w:pPr>
      <w:r w:rsidRPr="00114BA6">
        <w:rPr>
          <w:rFonts w:cs="Tahoma"/>
          <w:sz w:val="20"/>
          <w:szCs w:val="20"/>
        </w:rPr>
        <w:t xml:space="preserve">Rozliczenie za sprzedaż i dystrybucję gazu odbywać się będzie w okresach rozliczeniowych na podstawie odczytu wskazań układu pomiarowo-rozliczeniowego, pozyskanego od Operatora Systemu Dystrybucyjnego w terminie płatności określonym w fakturze przez Sprzedawcę </w:t>
      </w:r>
      <w:r w:rsidR="00FA2130" w:rsidRPr="00114BA6">
        <w:rPr>
          <w:rFonts w:cs="Tahoma"/>
          <w:sz w:val="20"/>
          <w:szCs w:val="20"/>
        </w:rPr>
        <w:t>( z wyłączeniem grupy taryfowej W.1-1).</w:t>
      </w:r>
    </w:p>
    <w:p w14:paraId="3C89B51B" w14:textId="100B1C05" w:rsidR="00B153C1" w:rsidRPr="00114BA6" w:rsidRDefault="00B153C1" w:rsidP="00114BA6">
      <w:pPr>
        <w:pStyle w:val="Styl1"/>
        <w:tabs>
          <w:tab w:val="clear" w:pos="360"/>
        </w:tabs>
        <w:ind w:left="360"/>
        <w:rPr>
          <w:rFonts w:cs="Tahoma"/>
          <w:sz w:val="20"/>
          <w:szCs w:val="20"/>
        </w:rPr>
      </w:pPr>
      <w:r w:rsidRPr="00114BA6">
        <w:rPr>
          <w:rFonts w:cs="Tahoma"/>
          <w:sz w:val="20"/>
          <w:szCs w:val="20"/>
        </w:rPr>
        <w:t>Warunkiem rozpoczęcia dostaw jest pozytywnie przeprowadzona procedura zmiany sprzedawcy w zgodnie z terminami wynikającymi z Instrukcji Ruchu i Eksploatacji Sieci Dystrybucyjnej PSG Sp. z o. o..</w:t>
      </w:r>
    </w:p>
    <w:p w14:paraId="1526546B" w14:textId="77777777" w:rsidR="002B4914" w:rsidRPr="00114BA6" w:rsidRDefault="00F417A1" w:rsidP="00114BA6">
      <w:pPr>
        <w:pStyle w:val="Styl1"/>
        <w:numPr>
          <w:ilvl w:val="0"/>
          <w:numId w:val="1"/>
        </w:numPr>
        <w:rPr>
          <w:rFonts w:cs="Tahoma"/>
          <w:sz w:val="20"/>
          <w:szCs w:val="20"/>
        </w:rPr>
      </w:pPr>
      <w:r w:rsidRPr="00114BA6">
        <w:rPr>
          <w:rFonts w:cs="Tahoma"/>
          <w:sz w:val="20"/>
          <w:szCs w:val="20"/>
        </w:rPr>
        <w:t>Rozliczenie za sprzedaż gazu nie może odbywać się na podstawie prognoz.</w:t>
      </w:r>
    </w:p>
    <w:p w14:paraId="7A814CDB" w14:textId="77777777" w:rsidR="002B4914" w:rsidRPr="00114BA6" w:rsidRDefault="00F417A1" w:rsidP="00114BA6">
      <w:pPr>
        <w:pStyle w:val="Styl1"/>
        <w:numPr>
          <w:ilvl w:val="0"/>
          <w:numId w:val="1"/>
        </w:numPr>
        <w:rPr>
          <w:rFonts w:cs="Tahoma"/>
          <w:sz w:val="20"/>
          <w:szCs w:val="20"/>
        </w:rPr>
      </w:pPr>
      <w:r w:rsidRPr="00114BA6">
        <w:rPr>
          <w:rFonts w:cs="Tahoma"/>
          <w:sz w:val="20"/>
          <w:szCs w:val="20"/>
        </w:rPr>
        <w:t>Okres rozliczeniowy będzie zgodny z okresem rozliczeniowym Operatora Systemu dystrybucyjnego w oparciu o odczyty dokonane przez OSD</w:t>
      </w:r>
    </w:p>
    <w:p w14:paraId="4D6E7268" w14:textId="77777777" w:rsidR="002B4914" w:rsidRPr="00114BA6" w:rsidRDefault="00F417A1" w:rsidP="00114BA6">
      <w:pPr>
        <w:pStyle w:val="Styl1"/>
        <w:numPr>
          <w:ilvl w:val="0"/>
          <w:numId w:val="1"/>
        </w:numPr>
        <w:rPr>
          <w:rFonts w:cs="Tahoma"/>
          <w:sz w:val="20"/>
          <w:szCs w:val="20"/>
        </w:rPr>
      </w:pPr>
      <w:r w:rsidRPr="00114BA6">
        <w:rPr>
          <w:rFonts w:cs="Tahoma"/>
          <w:sz w:val="20"/>
          <w:szCs w:val="20"/>
        </w:rPr>
        <w:t>W sprawach nieuregulowanych Umową mają zastosowanie przepisy:</w:t>
      </w:r>
    </w:p>
    <w:p w14:paraId="2127DB92" w14:textId="0912D261" w:rsidR="002B4914" w:rsidRPr="00114BA6" w:rsidRDefault="00F417A1" w:rsidP="00114BA6">
      <w:pPr>
        <w:pStyle w:val="Styl2"/>
        <w:numPr>
          <w:ilvl w:val="0"/>
          <w:numId w:val="6"/>
        </w:numPr>
        <w:rPr>
          <w:sz w:val="20"/>
          <w:szCs w:val="20"/>
        </w:rPr>
      </w:pPr>
      <w:r w:rsidRPr="00114BA6">
        <w:rPr>
          <w:sz w:val="20"/>
          <w:szCs w:val="20"/>
        </w:rPr>
        <w:t>ustawy z dnia 29 stycznia 2004r. Prawo zamówień publicznych (Dz. U. z 202</w:t>
      </w:r>
      <w:r w:rsidR="00B43656" w:rsidRPr="00114BA6">
        <w:rPr>
          <w:sz w:val="20"/>
          <w:szCs w:val="20"/>
        </w:rPr>
        <w:t>3</w:t>
      </w:r>
      <w:r w:rsidRPr="00114BA6">
        <w:rPr>
          <w:sz w:val="20"/>
          <w:szCs w:val="20"/>
        </w:rPr>
        <w:t>r. poz. 1</w:t>
      </w:r>
      <w:r w:rsidR="00B43656" w:rsidRPr="00114BA6">
        <w:rPr>
          <w:sz w:val="20"/>
          <w:szCs w:val="20"/>
        </w:rPr>
        <w:t>605</w:t>
      </w:r>
      <w:r w:rsidRPr="00114BA6">
        <w:rPr>
          <w:sz w:val="20"/>
          <w:szCs w:val="20"/>
        </w:rPr>
        <w:t xml:space="preserve"> tekst jednolity ze zmianami),</w:t>
      </w:r>
    </w:p>
    <w:p w14:paraId="111F3713" w14:textId="77777777" w:rsidR="002B4914" w:rsidRPr="00114BA6" w:rsidRDefault="00F417A1" w:rsidP="00114BA6">
      <w:pPr>
        <w:pStyle w:val="Styl2"/>
        <w:numPr>
          <w:ilvl w:val="0"/>
          <w:numId w:val="2"/>
        </w:numPr>
        <w:rPr>
          <w:sz w:val="20"/>
          <w:szCs w:val="20"/>
        </w:rPr>
      </w:pPr>
      <w:r w:rsidRPr="00114BA6">
        <w:rPr>
          <w:sz w:val="20"/>
          <w:szCs w:val="20"/>
        </w:rPr>
        <w:t>Kodeksu cywilnego,</w:t>
      </w:r>
    </w:p>
    <w:p w14:paraId="75908EDE" w14:textId="77777777" w:rsidR="002B4914" w:rsidRPr="00114BA6" w:rsidRDefault="00F417A1" w:rsidP="00114BA6">
      <w:pPr>
        <w:pStyle w:val="Styl2"/>
        <w:numPr>
          <w:ilvl w:val="0"/>
          <w:numId w:val="2"/>
        </w:numPr>
        <w:rPr>
          <w:sz w:val="20"/>
          <w:szCs w:val="20"/>
        </w:rPr>
      </w:pPr>
      <w:r w:rsidRPr="00114BA6">
        <w:rPr>
          <w:sz w:val="20"/>
          <w:szCs w:val="20"/>
        </w:rPr>
        <w:t>Ustawy z dnia 10 kwietnia 1997 r. – Prawo energetyczne wraz z aktami wykonawczymi,</w:t>
      </w:r>
    </w:p>
    <w:p w14:paraId="45C5D8FA" w14:textId="77777777" w:rsidR="002B4914" w:rsidRPr="00114BA6" w:rsidRDefault="00F417A1" w:rsidP="00114BA6">
      <w:pPr>
        <w:pStyle w:val="Styl2"/>
        <w:numPr>
          <w:ilvl w:val="0"/>
          <w:numId w:val="2"/>
        </w:numPr>
        <w:rPr>
          <w:sz w:val="20"/>
          <w:szCs w:val="20"/>
        </w:rPr>
      </w:pPr>
      <w:r w:rsidRPr="00114BA6">
        <w:rPr>
          <w:sz w:val="20"/>
          <w:szCs w:val="20"/>
        </w:rPr>
        <w:t>Instrukcji Ruchu i Eksploatacji Sieci Rozdzielczej (Dystrybucyjnej).</w:t>
      </w:r>
    </w:p>
    <w:p w14:paraId="768BBC82" w14:textId="77777777" w:rsidR="002B4914" w:rsidRPr="00114BA6" w:rsidRDefault="00F417A1" w:rsidP="00114BA6">
      <w:pPr>
        <w:pStyle w:val="Styl1"/>
        <w:numPr>
          <w:ilvl w:val="0"/>
          <w:numId w:val="1"/>
        </w:numPr>
        <w:ind w:hanging="357"/>
        <w:rPr>
          <w:rFonts w:cs="Tahoma"/>
          <w:sz w:val="20"/>
          <w:szCs w:val="20"/>
        </w:rPr>
      </w:pPr>
      <w:r w:rsidRPr="00114BA6">
        <w:rPr>
          <w:rFonts w:cs="Tahoma"/>
          <w:sz w:val="20"/>
          <w:szCs w:val="20"/>
        </w:rPr>
        <w:t>Dopuszcza się zmianę ilości punktów odbioru gazu (z zachowaniem taryf i cen określonych w umowie) ze względu na:</w:t>
      </w:r>
    </w:p>
    <w:p w14:paraId="69CBD091" w14:textId="77777777" w:rsidR="002B4914" w:rsidRPr="00114BA6" w:rsidRDefault="00F417A1" w:rsidP="00114BA6">
      <w:pPr>
        <w:pStyle w:val="Styl1"/>
        <w:numPr>
          <w:ilvl w:val="1"/>
          <w:numId w:val="7"/>
        </w:numPr>
        <w:rPr>
          <w:rFonts w:cs="Tahoma"/>
          <w:sz w:val="20"/>
          <w:szCs w:val="20"/>
        </w:rPr>
      </w:pPr>
      <w:r w:rsidRPr="00114BA6">
        <w:rPr>
          <w:rFonts w:cs="Tahoma"/>
          <w:sz w:val="20"/>
          <w:szCs w:val="20"/>
        </w:rPr>
        <w:t>Rezygnacje z punktów poboru wymienionych w załączniku do  SWZ, w przypadku likwidacji lub przekazania punktów innemu właścicielowi;</w:t>
      </w:r>
    </w:p>
    <w:p w14:paraId="4B0D48EE" w14:textId="6D9C9E9E" w:rsidR="002B4914" w:rsidRPr="00114BA6" w:rsidRDefault="00F417A1" w:rsidP="00114BA6">
      <w:pPr>
        <w:pStyle w:val="Styl1"/>
        <w:numPr>
          <w:ilvl w:val="1"/>
          <w:numId w:val="3"/>
        </w:numPr>
        <w:rPr>
          <w:rFonts w:cs="Tahoma"/>
          <w:sz w:val="20"/>
          <w:szCs w:val="20"/>
        </w:rPr>
      </w:pPr>
      <w:r w:rsidRPr="00114BA6">
        <w:rPr>
          <w:rFonts w:cs="Tahoma"/>
          <w:sz w:val="20"/>
          <w:szCs w:val="20"/>
        </w:rPr>
        <w:t>Zwiększenia ilości punktów poboru, jednak nie więcej niż 3 punkty poboru</w:t>
      </w:r>
      <w:r w:rsidR="00B83CBC" w:rsidRPr="00114BA6">
        <w:rPr>
          <w:rFonts w:cs="Tahoma"/>
          <w:sz w:val="20"/>
          <w:szCs w:val="20"/>
        </w:rPr>
        <w:t>;</w:t>
      </w:r>
      <w:r w:rsidRPr="00114BA6">
        <w:rPr>
          <w:rFonts w:cs="Tahoma"/>
          <w:sz w:val="20"/>
          <w:szCs w:val="20"/>
        </w:rPr>
        <w:t xml:space="preserve"> </w:t>
      </w:r>
    </w:p>
    <w:p w14:paraId="5123959A" w14:textId="2C7E0DAF" w:rsidR="00B153C1" w:rsidRPr="00114BA6" w:rsidRDefault="00B153C1" w:rsidP="00114BA6">
      <w:pPr>
        <w:pStyle w:val="Styl1"/>
        <w:numPr>
          <w:ilvl w:val="1"/>
          <w:numId w:val="3"/>
        </w:numPr>
        <w:rPr>
          <w:rFonts w:cs="Tahoma"/>
          <w:bCs/>
          <w:sz w:val="20"/>
          <w:szCs w:val="20"/>
        </w:rPr>
      </w:pPr>
      <w:r w:rsidRPr="00114BA6">
        <w:rPr>
          <w:rFonts w:cs="Tahoma"/>
          <w:bCs/>
          <w:sz w:val="20"/>
          <w:szCs w:val="20"/>
        </w:rPr>
        <w:t>Zmiana ilości punktów poboru może być zmieniona w zakresie +/- 10% wolumenu określonego w SWZ</w:t>
      </w:r>
      <w:r w:rsidR="00B83CBC" w:rsidRPr="00114BA6">
        <w:rPr>
          <w:rFonts w:cs="Tahoma"/>
          <w:bCs/>
          <w:sz w:val="20"/>
          <w:szCs w:val="20"/>
        </w:rPr>
        <w:t>.</w:t>
      </w:r>
    </w:p>
    <w:p w14:paraId="57B3AEC5" w14:textId="77777777" w:rsidR="002B4914" w:rsidRPr="00114BA6" w:rsidRDefault="00F417A1" w:rsidP="00114BA6">
      <w:pPr>
        <w:pStyle w:val="Styl1"/>
        <w:numPr>
          <w:ilvl w:val="0"/>
          <w:numId w:val="1"/>
        </w:numPr>
        <w:rPr>
          <w:rFonts w:cs="Tahoma"/>
          <w:sz w:val="20"/>
          <w:szCs w:val="20"/>
        </w:rPr>
      </w:pPr>
      <w:r w:rsidRPr="00114BA6">
        <w:rPr>
          <w:rFonts w:cs="Tahoma"/>
          <w:sz w:val="20"/>
          <w:szCs w:val="20"/>
        </w:rPr>
        <w:t>Dopuszczalne są w trakcie realizacji przedmiotu umowy - zmiany mocy zamówionej w poszczególnych punktach odbioru</w:t>
      </w:r>
      <w:r w:rsidR="00FA2130" w:rsidRPr="00114BA6">
        <w:rPr>
          <w:rFonts w:cs="Tahoma"/>
          <w:sz w:val="20"/>
          <w:szCs w:val="20"/>
        </w:rPr>
        <w:t xml:space="preserve"> po uzyskaniu zgody OSD.</w:t>
      </w:r>
    </w:p>
    <w:p w14:paraId="2344B361" w14:textId="0E403DA7" w:rsidR="002B4914" w:rsidRPr="00114BA6" w:rsidRDefault="00F417A1" w:rsidP="00114BA6">
      <w:pPr>
        <w:pStyle w:val="Styl1"/>
        <w:numPr>
          <w:ilvl w:val="0"/>
          <w:numId w:val="1"/>
        </w:numPr>
        <w:rPr>
          <w:rFonts w:cs="Tahoma"/>
          <w:sz w:val="20"/>
          <w:szCs w:val="20"/>
        </w:rPr>
      </w:pPr>
      <w:r w:rsidRPr="00114BA6">
        <w:rPr>
          <w:rFonts w:cs="Tahoma"/>
          <w:sz w:val="20"/>
          <w:szCs w:val="20"/>
        </w:rPr>
        <w:t xml:space="preserve">W przypadku przekroczenia mocy umownej, Zamawiający wyrazi zgodę na wystawienie opłaty z tytułu przekroczenia obliczoną zgodnie z zasadami zawartymi w Taryfie Operatora, opłat z tytułu niedostosowania się przez Zamawiającego do ograniczeń wprowadzonych przez Operatora Systemu Dystrybucyjnego, oraz innych opłat ustalonych w Taryfie Operatora, Instrukcji Ruchu i Eksploatacji Sieci Dystrybucyjnej (dalej </w:t>
      </w:r>
      <w:proofErr w:type="spellStart"/>
      <w:r w:rsidRPr="00114BA6">
        <w:rPr>
          <w:rFonts w:cs="Tahoma"/>
          <w:sz w:val="20"/>
          <w:szCs w:val="20"/>
        </w:rPr>
        <w:t>IRiESD</w:t>
      </w:r>
      <w:proofErr w:type="spellEnd"/>
      <w:r w:rsidRPr="00114BA6">
        <w:rPr>
          <w:rFonts w:cs="Tahoma"/>
          <w:sz w:val="20"/>
          <w:szCs w:val="20"/>
        </w:rPr>
        <w:t xml:space="preserve">), na zasadach wynikających z Taryfy Operatora, </w:t>
      </w:r>
      <w:proofErr w:type="spellStart"/>
      <w:r w:rsidRPr="00114BA6">
        <w:rPr>
          <w:rFonts w:cs="Tahoma"/>
          <w:sz w:val="20"/>
          <w:szCs w:val="20"/>
        </w:rPr>
        <w:t>IRiESD</w:t>
      </w:r>
      <w:proofErr w:type="spellEnd"/>
      <w:r w:rsidRPr="00114BA6">
        <w:rPr>
          <w:rFonts w:cs="Tahoma"/>
          <w:sz w:val="20"/>
          <w:szCs w:val="20"/>
        </w:rPr>
        <w:t>.</w:t>
      </w:r>
    </w:p>
    <w:p w14:paraId="1DA254BA" w14:textId="76344492" w:rsidR="002B4914" w:rsidRPr="00114BA6" w:rsidRDefault="00F417A1" w:rsidP="00114BA6">
      <w:pPr>
        <w:pStyle w:val="NormalnyWeb"/>
        <w:numPr>
          <w:ilvl w:val="0"/>
          <w:numId w:val="1"/>
        </w:numPr>
        <w:spacing w:before="280"/>
        <w:jc w:val="both"/>
        <w:rPr>
          <w:rFonts w:ascii="Tahoma" w:hAnsi="Tahoma" w:cs="Tahoma"/>
          <w:sz w:val="20"/>
          <w:szCs w:val="20"/>
        </w:rPr>
      </w:pPr>
      <w:r w:rsidRPr="00114BA6">
        <w:rPr>
          <w:rFonts w:ascii="Tahoma" w:hAnsi="Tahoma" w:cs="Tahoma"/>
          <w:bCs/>
          <w:sz w:val="20"/>
          <w:szCs w:val="20"/>
          <w:lang w:eastAsia="ar-SA"/>
        </w:rPr>
        <w:t xml:space="preserve">Wykonawca nie ma prawa przeniesienia praw wynikających z umowy na osoby trzecie bez pisemnej zgody Zamawiającego, jak również dopełnienia wymogów </w:t>
      </w:r>
      <w:r w:rsidRPr="00114BA6">
        <w:rPr>
          <w:rFonts w:ascii="Tahoma" w:hAnsi="Tahoma" w:cs="Tahoma"/>
          <w:sz w:val="20"/>
          <w:szCs w:val="20"/>
        </w:rPr>
        <w:t>określonych w art. 54 ust. 5 ustawy z dnia 15 kwietnia 2011 r. o działalności leczniczej (Dz.U.202</w:t>
      </w:r>
      <w:r w:rsidR="00B43656" w:rsidRPr="00114BA6">
        <w:rPr>
          <w:rFonts w:ascii="Tahoma" w:hAnsi="Tahoma" w:cs="Tahoma"/>
          <w:sz w:val="20"/>
          <w:szCs w:val="20"/>
        </w:rPr>
        <w:t>3</w:t>
      </w:r>
      <w:r w:rsidRPr="00114BA6">
        <w:rPr>
          <w:rFonts w:ascii="Tahoma" w:hAnsi="Tahoma" w:cs="Tahoma"/>
          <w:sz w:val="20"/>
          <w:szCs w:val="20"/>
        </w:rPr>
        <w:t>.</w:t>
      </w:r>
      <w:r w:rsidR="00B43656" w:rsidRPr="00114BA6">
        <w:rPr>
          <w:rFonts w:ascii="Tahoma" w:hAnsi="Tahoma" w:cs="Tahoma"/>
          <w:sz w:val="20"/>
          <w:szCs w:val="20"/>
        </w:rPr>
        <w:t>991</w:t>
      </w:r>
      <w:r w:rsidRPr="00114BA6">
        <w:rPr>
          <w:rFonts w:ascii="Tahoma" w:hAnsi="Tahoma" w:cs="Tahoma"/>
          <w:sz w:val="20"/>
          <w:szCs w:val="20"/>
        </w:rPr>
        <w:t xml:space="preserve"> </w:t>
      </w:r>
      <w:proofErr w:type="spellStart"/>
      <w:r w:rsidRPr="00114BA6">
        <w:rPr>
          <w:rFonts w:ascii="Tahoma" w:hAnsi="Tahoma" w:cs="Tahoma"/>
          <w:sz w:val="20"/>
          <w:szCs w:val="20"/>
        </w:rPr>
        <w:t>t.j</w:t>
      </w:r>
      <w:proofErr w:type="spellEnd"/>
      <w:r w:rsidR="00B43656" w:rsidRPr="00114BA6">
        <w:rPr>
          <w:rFonts w:ascii="Tahoma" w:hAnsi="Tahoma" w:cs="Tahoma"/>
          <w:sz w:val="20"/>
          <w:szCs w:val="20"/>
        </w:rPr>
        <w:t>. ze zm.</w:t>
      </w:r>
      <w:r w:rsidRPr="00114BA6">
        <w:rPr>
          <w:rFonts w:ascii="Tahoma" w:hAnsi="Tahoma" w:cs="Tahoma"/>
          <w:sz w:val="20"/>
          <w:szCs w:val="20"/>
        </w:rPr>
        <w:t>). Dokonanie cesji z naruszeniem tej zasady jest z mocy prawa nieważne.</w:t>
      </w:r>
    </w:p>
    <w:p w14:paraId="5D6E8562" w14:textId="4FB87F02" w:rsidR="00EC1221" w:rsidRPr="00F41BF8" w:rsidRDefault="00EC1221" w:rsidP="00114BA6">
      <w:pPr>
        <w:pStyle w:val="Akapitzlist"/>
        <w:numPr>
          <w:ilvl w:val="0"/>
          <w:numId w:val="1"/>
        </w:numPr>
        <w:tabs>
          <w:tab w:val="left" w:pos="2796"/>
        </w:tabs>
        <w:suppressAutoHyphens w:val="0"/>
        <w:autoSpaceDN w:val="0"/>
        <w:contextualSpacing w:val="0"/>
        <w:jc w:val="both"/>
        <w:textAlignment w:val="baseline"/>
        <w:rPr>
          <w:rFonts w:ascii="Tahoma" w:hAnsi="Tahoma"/>
          <w:color w:val="FF0000"/>
        </w:rPr>
      </w:pPr>
      <w:r w:rsidRPr="00114BA6">
        <w:rPr>
          <w:rFonts w:ascii="Tahoma" w:hAnsi="Tahoma"/>
          <w:lang w:eastAsia="zh-CN"/>
        </w:rPr>
        <w:t>Wykonawca zobowiązany jest do dostarczenia wystawionych faktur VAT na następujący adres:</w:t>
      </w:r>
      <w:r w:rsidRPr="00114BA6">
        <w:rPr>
          <w:rFonts w:ascii="Tahoma" w:hAnsi="Tahoma"/>
          <w:lang w:eastAsia="zh-CN"/>
        </w:rPr>
        <w:br/>
        <w:t>Dział Techniczny WS-SPZOZ w Zgorzelcu ul. Lubańska 11-12, 59-900 Zgorzelec</w:t>
      </w:r>
      <w:r w:rsidR="00F41BF8">
        <w:rPr>
          <w:rFonts w:ascii="Tahoma" w:hAnsi="Tahoma"/>
          <w:lang w:eastAsia="zh-CN"/>
        </w:rPr>
        <w:t xml:space="preserve"> lub e-mail:                   </w:t>
      </w:r>
      <w:r w:rsidR="00F41BF8" w:rsidRPr="00FB7E14">
        <w:rPr>
          <w:rFonts w:ascii="Tahoma" w:hAnsi="Tahoma"/>
          <w:b/>
          <w:sz w:val="18"/>
          <w:szCs w:val="18"/>
        </w:rPr>
        <w:t>m.szeremeta@spzoz.zgorzelec.pl</w:t>
      </w:r>
      <w:r w:rsidR="00F41BF8" w:rsidRPr="00FB7E14">
        <w:rPr>
          <w:rFonts w:ascii="Tahoma" w:hAnsi="Tahoma"/>
          <w:lang w:eastAsia="zh-CN"/>
        </w:rPr>
        <w:t xml:space="preserve"> </w:t>
      </w:r>
    </w:p>
    <w:p w14:paraId="779917CB" w14:textId="77777777" w:rsidR="00FA2130" w:rsidRDefault="00FA2130" w:rsidP="00114BA6">
      <w:pPr>
        <w:pStyle w:val="NormalnyWeb"/>
        <w:numPr>
          <w:ilvl w:val="0"/>
          <w:numId w:val="1"/>
        </w:numPr>
        <w:spacing w:before="280"/>
        <w:jc w:val="both"/>
        <w:rPr>
          <w:rFonts w:ascii="Tahoma" w:hAnsi="Tahoma" w:cs="Tahoma"/>
          <w:sz w:val="20"/>
          <w:szCs w:val="20"/>
        </w:rPr>
      </w:pPr>
      <w:r w:rsidRPr="00114BA6">
        <w:rPr>
          <w:rFonts w:ascii="Tahoma" w:hAnsi="Tahoma" w:cs="Tahoma"/>
          <w:sz w:val="20"/>
          <w:szCs w:val="20"/>
        </w:rPr>
        <w:t>Zamawiający zobowiązuje się do zapłaty należności w terminie 30 dni licząc od daty prawidłowo wystawionej faktury VAT i uprzednio otrzymanej dostawy ( z wyłączeniem grupy taryfowej W.1-1, gdzie fakturowanie następować będzie na podstawie prognozy), przelewem na konto Wykonawcy wskazane na fakturze.</w:t>
      </w:r>
    </w:p>
    <w:p w14:paraId="2B3F4FED" w14:textId="77777777" w:rsidR="00F41BF8" w:rsidRDefault="00F41BF8" w:rsidP="00F41BF8">
      <w:pPr>
        <w:pStyle w:val="Standard"/>
        <w:widowControl/>
        <w:numPr>
          <w:ilvl w:val="0"/>
          <w:numId w:val="1"/>
        </w:numPr>
        <w:suppressAutoHyphens w:val="0"/>
        <w:autoSpaceDE/>
        <w:autoSpaceDN w:val="0"/>
        <w:textAlignment w:val="baseline"/>
        <w:rPr>
          <w:sz w:val="20"/>
        </w:rPr>
      </w:pPr>
      <w:r w:rsidRPr="00114BA6">
        <w:rPr>
          <w:sz w:val="20"/>
        </w:rPr>
        <w:t>Jeżeli złożono ofertę, której wybór, zgodnie z przepisami o podatku od asortymentów i usług, prowadziłby do powstania obowiązku podatkowego zastosowania mechanizmu podzielonej płatności, Wykonawca ma obowiązek dokonywania odpowiednich oznaczeń na fakturze oraz przyjęcia płatności w ramach mechanizmu MPP.</w:t>
      </w:r>
    </w:p>
    <w:p w14:paraId="25713CE1" w14:textId="0D61E62D" w:rsidR="000F6FEA" w:rsidRPr="00114BA6" w:rsidRDefault="000F6FEA" w:rsidP="00F41BF8">
      <w:pPr>
        <w:pStyle w:val="Standard"/>
        <w:widowControl/>
        <w:numPr>
          <w:ilvl w:val="0"/>
          <w:numId w:val="1"/>
        </w:numPr>
        <w:suppressAutoHyphens w:val="0"/>
        <w:autoSpaceDE/>
        <w:autoSpaceDN w:val="0"/>
        <w:textAlignment w:val="baseline"/>
        <w:rPr>
          <w:sz w:val="20"/>
        </w:rPr>
      </w:pPr>
      <w:r>
        <w:rPr>
          <w:sz w:val="20"/>
        </w:rPr>
        <w:t>Podany przez Wykonawcę numer rachunku bankowego musi być zgodny z białą listą podatników VAT.</w:t>
      </w:r>
    </w:p>
    <w:p w14:paraId="6C086F7E" w14:textId="0B7D1619" w:rsidR="00F41BF8" w:rsidRDefault="00F41BF8" w:rsidP="00F41BF8">
      <w:pPr>
        <w:pStyle w:val="Standard"/>
        <w:widowControl/>
        <w:numPr>
          <w:ilvl w:val="0"/>
          <w:numId w:val="1"/>
        </w:numPr>
        <w:suppressAutoHyphens w:val="0"/>
        <w:autoSpaceDE/>
        <w:autoSpaceDN w:val="0"/>
        <w:textAlignment w:val="baseline"/>
        <w:rPr>
          <w:sz w:val="20"/>
        </w:rPr>
      </w:pPr>
      <w:r w:rsidRPr="00114BA6">
        <w:rPr>
          <w:sz w:val="20"/>
        </w:rPr>
        <w:lastRenderedPageBreak/>
        <w:t>Jeżeli w momencie zapłaty przez Zamawiającego numer rachunku bankowego wskazany przez Wykonawcę, podwykonawcę lub dalszego podwykonawcę w fakturze nie jest numerem rachunku bankowego Wykonawcy wskazanym w białej liście podatników VAT, Zamawiający wstrzyma się z płatnością na rzecz Wykonawcy, bez konsekwencji wynikających z niewykonania zobowiązania lub opóźnienia w zapłacie, do momentu, w którym numer rachunku bankowego wskazany w fakturze VAT i białej liście podatników VAT będą zgodne. (Podany przez Wykonawcę numer rachunku bankowego musi być ujawniony w wykazie podatników VAT prowadzonym przez Szefa Krajowej Administracji Skarbowej).</w:t>
      </w:r>
    </w:p>
    <w:p w14:paraId="73621F97" w14:textId="279ED248" w:rsidR="00FB7E14" w:rsidRPr="00FB7E14" w:rsidRDefault="00FB7E14" w:rsidP="00FB7E14">
      <w:pPr>
        <w:pStyle w:val="Akapitzlist"/>
        <w:numPr>
          <w:ilvl w:val="0"/>
          <w:numId w:val="1"/>
        </w:numPr>
        <w:jc w:val="both"/>
        <w:rPr>
          <w:rFonts w:ascii="Tahoma" w:hAnsi="Tahoma"/>
        </w:rPr>
      </w:pPr>
      <w:r w:rsidRPr="00FB7E14">
        <w:rPr>
          <w:rFonts w:ascii="Tahoma" w:hAnsi="Tahoma"/>
        </w:rPr>
        <w:t xml:space="preserve">O zmianach rachunku bankowego, zmianach osoby przedstawiciela strony i tym podobnych Wykonawca powiadomi pisemnie Zamawiającego. Takie zmiany nie wymagają sporządzenia aneksu do umowy i mogą nastąpić na podstawie pisemnej informacji stron. </w:t>
      </w:r>
    </w:p>
    <w:p w14:paraId="5097641A" w14:textId="73ED47C4" w:rsidR="00114BA6" w:rsidRPr="00114BA6" w:rsidRDefault="00114BA6" w:rsidP="00114BA6">
      <w:pPr>
        <w:pStyle w:val="NormalnyWeb"/>
        <w:numPr>
          <w:ilvl w:val="0"/>
          <w:numId w:val="1"/>
        </w:numPr>
        <w:spacing w:before="280"/>
        <w:jc w:val="both"/>
        <w:rPr>
          <w:rFonts w:ascii="Tahoma" w:hAnsi="Tahoma" w:cs="Tahoma"/>
          <w:sz w:val="20"/>
          <w:szCs w:val="20"/>
        </w:rPr>
      </w:pPr>
      <w:r w:rsidRPr="00114BA6">
        <w:rPr>
          <w:rFonts w:ascii="Tahoma" w:hAnsi="Tahoma" w:cs="Tahoma"/>
          <w:sz w:val="20"/>
          <w:szCs w:val="20"/>
        </w:rPr>
        <w:t>Zmniejszenie wartości przedmiotu umowy nie może przekroczyć 30% wartości umowy brutto.</w:t>
      </w:r>
    </w:p>
    <w:p w14:paraId="7B11AFF9" w14:textId="73A2688A" w:rsidR="00114BA6" w:rsidRPr="00B66D0D" w:rsidRDefault="00114BA6" w:rsidP="00B66D0D">
      <w:pPr>
        <w:pStyle w:val="Standard"/>
        <w:widowControl/>
        <w:numPr>
          <w:ilvl w:val="0"/>
          <w:numId w:val="1"/>
        </w:numPr>
        <w:tabs>
          <w:tab w:val="left" w:pos="852"/>
        </w:tabs>
        <w:suppressAutoHyphens w:val="0"/>
        <w:autoSpaceDE/>
        <w:autoSpaceDN w:val="0"/>
        <w:textAlignment w:val="baseline"/>
        <w:rPr>
          <w:sz w:val="20"/>
        </w:rPr>
      </w:pPr>
      <w:r w:rsidRPr="00114BA6">
        <w:rPr>
          <w:bCs/>
          <w:sz w:val="20"/>
        </w:rPr>
        <w:t>Całkowita suma kar umownych naliczonych na podstawie umowy nie może przekroczyć 60 % wartości łącznego wynagrodzenia brutto określonego w Umowie.</w:t>
      </w:r>
    </w:p>
    <w:p w14:paraId="64304FBB" w14:textId="22264DB0" w:rsidR="00F530C0" w:rsidRPr="00114BA6" w:rsidRDefault="00D40224" w:rsidP="0034708E">
      <w:pPr>
        <w:ind w:left="426" w:hanging="426"/>
        <w:jc w:val="both"/>
        <w:rPr>
          <w:rFonts w:ascii="Tahoma" w:hAnsi="Tahoma"/>
          <w:lang w:eastAsia="en-US"/>
        </w:rPr>
      </w:pPr>
      <w:r>
        <w:rPr>
          <w:rFonts w:ascii="Tahoma" w:eastAsia="NSimSun" w:hAnsi="Tahoma"/>
          <w:kern w:val="2"/>
          <w:lang w:bidi="hi-IN"/>
        </w:rPr>
        <w:t>19</w:t>
      </w:r>
      <w:r w:rsidR="0034708E" w:rsidRPr="0034708E">
        <w:rPr>
          <w:rFonts w:ascii="Tahoma" w:eastAsia="NSimSun" w:hAnsi="Tahoma"/>
          <w:kern w:val="2"/>
          <w:lang w:bidi="hi-IN"/>
        </w:rPr>
        <w:t xml:space="preserve">) </w:t>
      </w:r>
      <w:r w:rsidR="00F530C0" w:rsidRPr="00114BA6">
        <w:rPr>
          <w:rFonts w:ascii="Tahoma" w:hAnsi="Tahoma"/>
          <w:lang w:eastAsia="en-US"/>
        </w:rPr>
        <w:t xml:space="preserve">Strony umowy zastrzegają sobie prawo do wprowadzenia zmian umowy w formie aneksu, który dla </w:t>
      </w:r>
      <w:r w:rsidR="0034708E">
        <w:rPr>
          <w:rFonts w:ascii="Tahoma" w:hAnsi="Tahoma"/>
          <w:lang w:eastAsia="en-US"/>
        </w:rPr>
        <w:t xml:space="preserve">        </w:t>
      </w:r>
      <w:r w:rsidR="00F530C0" w:rsidRPr="00114BA6">
        <w:rPr>
          <w:rFonts w:ascii="Tahoma" w:hAnsi="Tahoma"/>
          <w:lang w:eastAsia="en-US"/>
        </w:rPr>
        <w:t>swej skuteczności wymaga zachowania formy pisemnej.</w:t>
      </w:r>
    </w:p>
    <w:p w14:paraId="2C6FACC6" w14:textId="74427EAC" w:rsidR="00F530C0" w:rsidRPr="00F530C0" w:rsidRDefault="00F530C0" w:rsidP="00114BA6">
      <w:pPr>
        <w:suppressAutoHyphens w:val="0"/>
        <w:autoSpaceDN w:val="0"/>
        <w:ind w:left="284"/>
        <w:jc w:val="both"/>
        <w:rPr>
          <w:rFonts w:ascii="Tahoma" w:hAnsi="Tahoma"/>
          <w:lang w:eastAsia="en-US"/>
        </w:rPr>
      </w:pPr>
      <w:r w:rsidRPr="00114BA6">
        <w:rPr>
          <w:rFonts w:ascii="Tahoma" w:hAnsi="Tahoma"/>
          <w:lang w:eastAsia="en-US"/>
        </w:rPr>
        <w:t xml:space="preserve"> </w:t>
      </w:r>
      <w:r w:rsidRPr="00F530C0">
        <w:rPr>
          <w:rFonts w:ascii="Tahoma" w:hAnsi="Tahoma"/>
          <w:lang w:eastAsia="en-US"/>
        </w:rPr>
        <w:t>Zmiana może nastąpić w przypadkach określonych poniżej:</w:t>
      </w:r>
    </w:p>
    <w:p w14:paraId="5343FAB9" w14:textId="77777777" w:rsidR="00F530C0" w:rsidRPr="00F530C0" w:rsidRDefault="00F530C0" w:rsidP="00114BA6">
      <w:pPr>
        <w:widowControl w:val="0"/>
        <w:numPr>
          <w:ilvl w:val="3"/>
          <w:numId w:val="16"/>
        </w:numPr>
        <w:tabs>
          <w:tab w:val="left" w:pos="993"/>
        </w:tabs>
        <w:suppressAutoHyphens w:val="0"/>
        <w:autoSpaceDN w:val="0"/>
        <w:ind w:left="709"/>
        <w:contextualSpacing/>
        <w:jc w:val="both"/>
        <w:textAlignment w:val="baseline"/>
        <w:rPr>
          <w:rFonts w:ascii="Tahoma" w:hAnsi="Tahoma"/>
          <w:lang w:eastAsia="en-US"/>
        </w:rPr>
      </w:pPr>
      <w:r w:rsidRPr="00F530C0">
        <w:rPr>
          <w:rFonts w:ascii="Tahoma" w:hAnsi="Tahoma"/>
          <w:lang w:eastAsia="en-US"/>
        </w:rPr>
        <w:t>zmiany danych kontrahenta (nazwy, siedziby, nr ewidencyjnego NIP, REGON, formy prawnej itd.),</w:t>
      </w:r>
    </w:p>
    <w:p w14:paraId="71F68064" w14:textId="77777777" w:rsidR="00F530C0" w:rsidRPr="00F530C0" w:rsidRDefault="00F530C0" w:rsidP="00114BA6">
      <w:pPr>
        <w:widowControl w:val="0"/>
        <w:numPr>
          <w:ilvl w:val="3"/>
          <w:numId w:val="16"/>
        </w:numPr>
        <w:tabs>
          <w:tab w:val="left" w:pos="993"/>
        </w:tabs>
        <w:suppressAutoHyphens w:val="0"/>
        <w:autoSpaceDN w:val="0"/>
        <w:ind w:left="709"/>
        <w:contextualSpacing/>
        <w:jc w:val="both"/>
        <w:textAlignment w:val="baseline"/>
        <w:rPr>
          <w:rFonts w:ascii="Tahoma" w:hAnsi="Tahoma"/>
          <w:lang w:eastAsia="en-US"/>
        </w:rPr>
      </w:pPr>
      <w:r w:rsidRPr="00F530C0">
        <w:rPr>
          <w:rFonts w:ascii="Tahoma" w:hAnsi="Tahoma"/>
          <w:lang w:eastAsia="en-US"/>
        </w:rPr>
        <w:t>zmiany miejsca realizacji umowy czy umówionych terminów,</w:t>
      </w:r>
    </w:p>
    <w:p w14:paraId="18A87FD4" w14:textId="77777777" w:rsidR="00F530C0" w:rsidRPr="00F530C0" w:rsidRDefault="00F530C0" w:rsidP="00114BA6">
      <w:pPr>
        <w:widowControl w:val="0"/>
        <w:numPr>
          <w:ilvl w:val="3"/>
          <w:numId w:val="16"/>
        </w:numPr>
        <w:tabs>
          <w:tab w:val="left" w:pos="993"/>
        </w:tabs>
        <w:suppressAutoHyphens w:val="0"/>
        <w:autoSpaceDN w:val="0"/>
        <w:ind w:left="709"/>
        <w:contextualSpacing/>
        <w:jc w:val="both"/>
        <w:textAlignment w:val="baseline"/>
        <w:rPr>
          <w:rFonts w:ascii="Tahoma" w:hAnsi="Tahoma"/>
          <w:lang w:eastAsia="en-US"/>
        </w:rPr>
      </w:pPr>
      <w:r w:rsidRPr="00F530C0">
        <w:rPr>
          <w:rFonts w:ascii="Tahoma" w:hAnsi="Tahoma"/>
          <w:lang w:eastAsia="en-US"/>
        </w:rPr>
        <w:t>zamiana asortymentu na inny, np. na skutek wycofania starego i wprowadzenie nowego, o takich samych lub lepszych parametrach użytkowych (zgodnie z zapotrzebowaniem Zamawiającego i w cenie przetargowej)</w:t>
      </w:r>
    </w:p>
    <w:p w14:paraId="133CB977" w14:textId="77777777" w:rsidR="00F530C0" w:rsidRPr="00F530C0" w:rsidRDefault="00F530C0" w:rsidP="00114BA6">
      <w:pPr>
        <w:widowControl w:val="0"/>
        <w:numPr>
          <w:ilvl w:val="3"/>
          <w:numId w:val="16"/>
        </w:numPr>
        <w:tabs>
          <w:tab w:val="left" w:pos="993"/>
        </w:tabs>
        <w:suppressAutoHyphens w:val="0"/>
        <w:autoSpaceDN w:val="0"/>
        <w:ind w:left="709"/>
        <w:contextualSpacing/>
        <w:jc w:val="both"/>
        <w:textAlignment w:val="baseline"/>
        <w:rPr>
          <w:rFonts w:ascii="Tahoma" w:eastAsia="SimSun" w:hAnsi="Tahoma"/>
          <w:kern w:val="3"/>
          <w:lang w:eastAsia="en-US"/>
        </w:rPr>
      </w:pPr>
      <w:r w:rsidRPr="00F530C0">
        <w:rPr>
          <w:rFonts w:ascii="Tahoma" w:hAnsi="Tahoma"/>
          <w:lang w:eastAsia="pl-PL"/>
        </w:rPr>
        <w:t>zmiany, niezależnie od ich wartości, nie są istotne w rozumieniu art. 454 ustawy PZP, zaś dopuszczone art. 455 ustawy PZP.</w:t>
      </w:r>
    </w:p>
    <w:p w14:paraId="1BA3CEB8" w14:textId="77777777" w:rsidR="00F530C0" w:rsidRPr="00F530C0" w:rsidRDefault="00F530C0" w:rsidP="00114BA6">
      <w:pPr>
        <w:widowControl w:val="0"/>
        <w:numPr>
          <w:ilvl w:val="3"/>
          <w:numId w:val="16"/>
        </w:numPr>
        <w:tabs>
          <w:tab w:val="left" w:pos="993"/>
        </w:tabs>
        <w:suppressAutoHyphens w:val="0"/>
        <w:autoSpaceDN w:val="0"/>
        <w:ind w:left="709"/>
        <w:contextualSpacing/>
        <w:jc w:val="both"/>
        <w:textAlignment w:val="baseline"/>
        <w:rPr>
          <w:rFonts w:ascii="Tahoma" w:eastAsia="SimSun" w:hAnsi="Tahoma"/>
          <w:kern w:val="3"/>
          <w:lang w:eastAsia="en-US"/>
        </w:rPr>
      </w:pPr>
      <w:r w:rsidRPr="00F530C0">
        <w:rPr>
          <w:rFonts w:ascii="Tahoma" w:eastAsia="SimSun" w:hAnsi="Tahoma"/>
          <w:kern w:val="3"/>
          <w:lang w:eastAsia="en-US"/>
        </w:rPr>
        <w:t>gdy wykonawcę, któremu zamawiający udzielił zamówienia, ma zastąpić nowy wykonawca:</w:t>
      </w:r>
    </w:p>
    <w:p w14:paraId="763E1D11" w14:textId="77777777" w:rsidR="00F530C0" w:rsidRPr="00F530C0" w:rsidRDefault="00F530C0" w:rsidP="00114BA6">
      <w:pPr>
        <w:widowControl w:val="0"/>
        <w:numPr>
          <w:ilvl w:val="0"/>
          <w:numId w:val="17"/>
        </w:numPr>
        <w:suppressAutoHyphens w:val="0"/>
        <w:autoSpaceDN w:val="0"/>
        <w:ind w:left="993" w:hanging="284"/>
        <w:jc w:val="both"/>
        <w:textAlignment w:val="baseline"/>
        <w:rPr>
          <w:rFonts w:ascii="Tahoma" w:hAnsi="Tahoma"/>
          <w:kern w:val="3"/>
          <w:lang w:eastAsia="en-US"/>
        </w:rPr>
      </w:pPr>
      <w:r w:rsidRPr="00F530C0">
        <w:rPr>
          <w:rFonts w:ascii="Tahoma" w:hAnsi="Tahoma"/>
          <w:kern w:val="3"/>
          <w:lang w:eastAsia="en-US"/>
        </w:rPr>
        <w:t>na podstawie postanowień umownych,</w:t>
      </w:r>
    </w:p>
    <w:p w14:paraId="47EE062B" w14:textId="77777777" w:rsidR="00F530C0" w:rsidRDefault="00F530C0" w:rsidP="00114BA6">
      <w:pPr>
        <w:widowControl w:val="0"/>
        <w:numPr>
          <w:ilvl w:val="0"/>
          <w:numId w:val="17"/>
        </w:numPr>
        <w:suppressAutoHyphens w:val="0"/>
        <w:autoSpaceDN w:val="0"/>
        <w:ind w:left="993" w:hanging="284"/>
        <w:jc w:val="both"/>
        <w:textAlignment w:val="baseline"/>
        <w:rPr>
          <w:rFonts w:ascii="Tahoma" w:hAnsi="Tahoma"/>
          <w:kern w:val="3"/>
          <w:lang w:eastAsia="en-US"/>
        </w:rPr>
      </w:pPr>
      <w:r w:rsidRPr="00F530C0">
        <w:rPr>
          <w:rFonts w:ascii="Tahoma" w:hAnsi="Tahoma"/>
          <w:kern w:val="3"/>
          <w:lang w:eastAsia="en-US"/>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0C248E46" w14:textId="2A689540" w:rsidR="0034708E" w:rsidRPr="00D40224" w:rsidRDefault="00D40224" w:rsidP="00D40224">
      <w:pPr>
        <w:ind w:left="709" w:hanging="283"/>
        <w:jc w:val="both"/>
        <w:rPr>
          <w:rFonts w:ascii="Tahoma" w:hAnsi="Tahoma"/>
        </w:rPr>
      </w:pPr>
      <w:r>
        <w:rPr>
          <w:rFonts w:ascii="Tahoma" w:hAnsi="Tahoma"/>
          <w:bCs/>
        </w:rPr>
        <w:t>6)</w:t>
      </w:r>
      <w:r w:rsidR="0034708E" w:rsidRPr="00D40224">
        <w:rPr>
          <w:rFonts w:ascii="Tahoma" w:hAnsi="Tahoma"/>
          <w:bCs/>
        </w:rPr>
        <w:t xml:space="preserve"> </w:t>
      </w:r>
      <w:r w:rsidR="0034708E" w:rsidRPr="00D40224">
        <w:rPr>
          <w:rFonts w:ascii="Tahoma" w:hAnsi="Tahoma"/>
        </w:rPr>
        <w:t xml:space="preserve">zmiany stawki opłat sieciowych gazu ziemnego określone i zatwierdzone przez Prezesa Urzędu Regulacji Energetyki w Taryfach operatora. </w:t>
      </w:r>
    </w:p>
    <w:p w14:paraId="7172C687" w14:textId="54172D30" w:rsidR="0034708E" w:rsidRPr="0034708E" w:rsidRDefault="00D40224" w:rsidP="00D40224">
      <w:pPr>
        <w:pStyle w:val="Akapitzlist"/>
        <w:ind w:left="709" w:hanging="283"/>
        <w:jc w:val="both"/>
        <w:rPr>
          <w:rFonts w:ascii="Tahoma" w:hAnsi="Tahoma"/>
        </w:rPr>
      </w:pPr>
      <w:r>
        <w:rPr>
          <w:rFonts w:ascii="Tahoma" w:hAnsi="Tahoma"/>
        </w:rPr>
        <w:t>7</w:t>
      </w:r>
      <w:r w:rsidR="0034708E" w:rsidRPr="0034708E">
        <w:rPr>
          <w:rFonts w:ascii="Tahoma" w:hAnsi="Tahoma"/>
        </w:rPr>
        <w:t>)</w:t>
      </w:r>
      <w:r w:rsidR="0034708E">
        <w:rPr>
          <w:rFonts w:ascii="Tahoma" w:hAnsi="Tahoma"/>
        </w:rPr>
        <w:t xml:space="preserve"> </w:t>
      </w:r>
      <w:r w:rsidR="0034708E" w:rsidRPr="0034708E">
        <w:rPr>
          <w:rFonts w:ascii="Tahoma" w:hAnsi="Tahoma"/>
        </w:rPr>
        <w:t>zmiany mocy umownej oraz grupy taryfowej w obrębie grup taryfowych objętych postępowaniem przetargowym;</w:t>
      </w:r>
    </w:p>
    <w:p w14:paraId="5B372499" w14:textId="22EDCCA1" w:rsidR="0034708E" w:rsidRPr="0034708E" w:rsidRDefault="00D40224" w:rsidP="00D40224">
      <w:pPr>
        <w:pStyle w:val="Akapitzlist"/>
        <w:ind w:left="709" w:hanging="283"/>
        <w:jc w:val="both"/>
        <w:rPr>
          <w:rFonts w:ascii="Tahoma" w:hAnsi="Tahoma"/>
          <w:b/>
          <w:bCs/>
        </w:rPr>
      </w:pPr>
      <w:r>
        <w:rPr>
          <w:rFonts w:ascii="Tahoma" w:hAnsi="Tahoma"/>
        </w:rPr>
        <w:t>8</w:t>
      </w:r>
      <w:r w:rsidR="0034708E" w:rsidRPr="0034708E">
        <w:rPr>
          <w:rFonts w:ascii="Tahoma" w:hAnsi="Tahoma"/>
        </w:rPr>
        <w:t>)</w:t>
      </w:r>
      <w:r w:rsidR="0034708E">
        <w:rPr>
          <w:rFonts w:ascii="Tahoma" w:hAnsi="Tahoma"/>
          <w:b/>
          <w:bCs/>
        </w:rPr>
        <w:t xml:space="preserve"> </w:t>
      </w:r>
      <w:r w:rsidR="0034708E" w:rsidRPr="0034708E">
        <w:rPr>
          <w:rFonts w:ascii="Tahoma" w:hAnsi="Tahoma"/>
          <w:bCs/>
        </w:rPr>
        <w:t>zmiany grupy taryfowej, zgodnie z zasadami określonymi w taryfach zatwierdzonych przez Prezesa Urzędu</w:t>
      </w:r>
      <w:r w:rsidR="0034708E" w:rsidRPr="0034708E">
        <w:rPr>
          <w:rFonts w:ascii="Tahoma" w:hAnsi="Tahoma"/>
          <w:b/>
          <w:bCs/>
        </w:rPr>
        <w:t xml:space="preserve"> </w:t>
      </w:r>
      <w:r w:rsidR="0034708E" w:rsidRPr="0034708E">
        <w:rPr>
          <w:rFonts w:ascii="Tahoma" w:hAnsi="Tahoma"/>
          <w:bCs/>
        </w:rPr>
        <w:t>Regulacji energetyki</w:t>
      </w:r>
    </w:p>
    <w:p w14:paraId="6D83EFA6" w14:textId="1F668635" w:rsidR="0034708E" w:rsidRPr="0034708E" w:rsidRDefault="00D40224" w:rsidP="00D40224">
      <w:pPr>
        <w:pStyle w:val="Akapitzlist"/>
        <w:ind w:left="709" w:hanging="283"/>
        <w:jc w:val="both"/>
        <w:rPr>
          <w:rFonts w:ascii="Tahoma" w:hAnsi="Tahoma"/>
          <w:b/>
          <w:bCs/>
        </w:rPr>
      </w:pPr>
      <w:r>
        <w:rPr>
          <w:rFonts w:ascii="Tahoma" w:hAnsi="Tahoma"/>
        </w:rPr>
        <w:t>9</w:t>
      </w:r>
      <w:r w:rsidR="0034708E" w:rsidRPr="0034708E">
        <w:rPr>
          <w:rFonts w:ascii="Tahoma" w:hAnsi="Tahoma"/>
        </w:rPr>
        <w:t>)</w:t>
      </w:r>
      <w:r w:rsidR="0034708E">
        <w:rPr>
          <w:rFonts w:ascii="Tahoma" w:hAnsi="Tahoma"/>
        </w:rPr>
        <w:t xml:space="preserve"> </w:t>
      </w:r>
      <w:r w:rsidR="0034708E" w:rsidRPr="0034708E">
        <w:rPr>
          <w:rFonts w:ascii="Tahoma" w:hAnsi="Tahoma"/>
        </w:rPr>
        <w:t>wystąpienie konieczności wprowadzenia zmian spowodowanych następującymi okolicznościami: siła wyższa uniemożliwiająca wykonanie przedmiotu umowy;</w:t>
      </w:r>
    </w:p>
    <w:p w14:paraId="5EB0A804" w14:textId="4DB1E59F" w:rsidR="0034708E" w:rsidRPr="0034708E" w:rsidRDefault="00D40224" w:rsidP="00D40224">
      <w:pPr>
        <w:pStyle w:val="Akapitzlist"/>
        <w:ind w:left="709" w:hanging="283"/>
        <w:jc w:val="both"/>
        <w:rPr>
          <w:rFonts w:ascii="Tahoma" w:hAnsi="Tahoma"/>
          <w:b/>
        </w:rPr>
      </w:pPr>
      <w:r>
        <w:rPr>
          <w:rFonts w:ascii="Tahoma" w:hAnsi="Tahoma"/>
        </w:rPr>
        <w:t>10</w:t>
      </w:r>
      <w:r w:rsidR="0034708E" w:rsidRPr="0034708E">
        <w:rPr>
          <w:rFonts w:ascii="Tahoma" w:hAnsi="Tahoma"/>
        </w:rPr>
        <w:t>)</w:t>
      </w:r>
      <w:r w:rsidR="0034708E">
        <w:rPr>
          <w:rFonts w:ascii="Tahoma" w:hAnsi="Tahoma"/>
          <w:b/>
          <w:bCs/>
        </w:rPr>
        <w:t xml:space="preserve"> </w:t>
      </w:r>
      <w:r w:rsidR="0034708E" w:rsidRPr="0034708E">
        <w:rPr>
          <w:rFonts w:ascii="Tahoma" w:hAnsi="Tahoma"/>
        </w:rPr>
        <w:t>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w:t>
      </w:r>
    </w:p>
    <w:p w14:paraId="116F762B" w14:textId="51E06F97" w:rsidR="00F530C0" w:rsidRPr="00F530C0" w:rsidRDefault="001B3F0A" w:rsidP="00114BA6">
      <w:pPr>
        <w:tabs>
          <w:tab w:val="left" w:pos="436"/>
        </w:tabs>
        <w:suppressAutoHyphens w:val="0"/>
        <w:autoSpaceDN w:val="0"/>
        <w:contextualSpacing/>
        <w:jc w:val="both"/>
        <w:rPr>
          <w:rFonts w:ascii="Tahoma" w:eastAsia="SimSun" w:hAnsi="Tahoma"/>
          <w:kern w:val="3"/>
          <w:lang w:eastAsia="en-US"/>
        </w:rPr>
      </w:pPr>
      <w:r w:rsidRPr="00114BA6">
        <w:rPr>
          <w:rFonts w:ascii="Tahoma" w:hAnsi="Tahoma"/>
          <w:lang w:eastAsia="en-US"/>
        </w:rPr>
        <w:t>2</w:t>
      </w:r>
      <w:r w:rsidR="00D40224">
        <w:rPr>
          <w:rFonts w:ascii="Tahoma" w:hAnsi="Tahoma"/>
          <w:lang w:eastAsia="en-US"/>
        </w:rPr>
        <w:t>0</w:t>
      </w:r>
      <w:r w:rsidR="00F530C0" w:rsidRPr="00114BA6">
        <w:rPr>
          <w:rFonts w:ascii="Tahoma" w:hAnsi="Tahoma"/>
          <w:lang w:eastAsia="en-US"/>
        </w:rPr>
        <w:t>)</w:t>
      </w:r>
      <w:r w:rsidR="00F530C0" w:rsidRPr="00F530C0">
        <w:rPr>
          <w:rFonts w:ascii="Tahoma" w:hAnsi="Tahoma"/>
          <w:lang w:eastAsia="en-US"/>
        </w:rPr>
        <w:t xml:space="preserve"> Strony dopuszczają możliwość zmiany czasu obowiązywania umowy poprzez:</w:t>
      </w:r>
    </w:p>
    <w:p w14:paraId="764869C9" w14:textId="3EB3F601" w:rsidR="00D40224" w:rsidRDefault="00D40224" w:rsidP="00D40224">
      <w:pPr>
        <w:widowControl w:val="0"/>
        <w:suppressAutoHyphens w:val="0"/>
        <w:autoSpaceDN w:val="0"/>
        <w:ind w:left="426"/>
        <w:contextualSpacing/>
        <w:jc w:val="both"/>
        <w:textAlignment w:val="baseline"/>
        <w:rPr>
          <w:rFonts w:ascii="Tahoma" w:eastAsia="NSimSun" w:hAnsi="Tahoma"/>
          <w:kern w:val="2"/>
          <w:lang w:bidi="hi-IN"/>
        </w:rPr>
      </w:pPr>
      <w:r>
        <w:rPr>
          <w:rFonts w:ascii="Tahoma" w:hAnsi="Tahoma"/>
          <w:lang w:eastAsia="en-US"/>
        </w:rPr>
        <w:t xml:space="preserve">1) </w:t>
      </w:r>
      <w:r w:rsidRPr="00114BA6">
        <w:rPr>
          <w:rFonts w:ascii="Tahoma" w:eastAsia="NSimSun" w:hAnsi="Tahoma"/>
          <w:kern w:val="2"/>
          <w:lang w:bidi="hi-IN"/>
        </w:rPr>
        <w:t>przedłużenie czasu obowiązywania umowy – w przypadku niezrealizowania w czasie trwania umowy szacunkowej wartości umowy brutto, do czasu zrealizowania wartościowego pozostałej części kwoty przeznaczonej do zapłaty za wykonanie przedmiotu umowy, lecz nie dłużej niż na okres 14 miesięcy od daty zawarcia umowy;</w:t>
      </w:r>
    </w:p>
    <w:p w14:paraId="7C14FB3A" w14:textId="64137A19" w:rsidR="00F530C0" w:rsidRPr="00F530C0" w:rsidRDefault="00D40224" w:rsidP="00D40224">
      <w:pPr>
        <w:widowControl w:val="0"/>
        <w:tabs>
          <w:tab w:val="left" w:pos="567"/>
        </w:tabs>
        <w:suppressAutoHyphens w:val="0"/>
        <w:autoSpaceDN w:val="0"/>
        <w:ind w:left="426"/>
        <w:contextualSpacing/>
        <w:jc w:val="both"/>
        <w:textAlignment w:val="baseline"/>
        <w:rPr>
          <w:rFonts w:ascii="Tahoma" w:hAnsi="Tahoma"/>
          <w:lang w:eastAsia="en-US"/>
        </w:rPr>
      </w:pPr>
      <w:r>
        <w:rPr>
          <w:rFonts w:ascii="Tahoma" w:eastAsia="NSimSun" w:hAnsi="Tahoma"/>
          <w:kern w:val="2"/>
          <w:lang w:bidi="hi-IN"/>
        </w:rPr>
        <w:t xml:space="preserve">2) </w:t>
      </w:r>
      <w:r w:rsidRPr="00114BA6">
        <w:rPr>
          <w:rFonts w:ascii="Tahoma" w:eastAsia="NSimSun" w:hAnsi="Tahoma"/>
          <w:kern w:val="2"/>
          <w:lang w:bidi="hi-IN"/>
        </w:rPr>
        <w:t>zwiększenie o nie więcej niż 10% wartości szacunkowej umowy brutto, zgodnie z art. 455 ust.2 ustawy PZP, w takim przypadku Zamawiający zastrzega możliwość zmiany terminu obowiązywania umowy, poprzez jego wydłużenie na okres do 14 miesięcy od daty zawarcia umowy</w:t>
      </w:r>
      <w:r w:rsidRPr="00114BA6">
        <w:rPr>
          <w:rFonts w:ascii="Tahoma" w:eastAsia="NSimSun" w:hAnsi="Tahoma"/>
          <w:color w:val="7030A0"/>
          <w:kern w:val="2"/>
          <w:lang w:bidi="hi-IN"/>
        </w:rPr>
        <w:t>.</w:t>
      </w:r>
      <w:r w:rsidR="00F530C0" w:rsidRPr="00F530C0">
        <w:rPr>
          <w:rFonts w:ascii="Tahoma" w:hAnsi="Tahoma"/>
          <w:lang w:eastAsia="en-US"/>
        </w:rPr>
        <w:t xml:space="preserve"> </w:t>
      </w:r>
    </w:p>
    <w:p w14:paraId="029376D7" w14:textId="5956B529" w:rsidR="00EC1221" w:rsidRPr="00114BA6" w:rsidRDefault="00EC1221" w:rsidP="00D40224">
      <w:pPr>
        <w:pStyle w:val="Akapitzlist"/>
        <w:numPr>
          <w:ilvl w:val="0"/>
          <w:numId w:val="27"/>
        </w:numPr>
        <w:tabs>
          <w:tab w:val="left" w:pos="436"/>
        </w:tabs>
        <w:suppressAutoHyphens w:val="0"/>
        <w:autoSpaceDN w:val="0"/>
        <w:jc w:val="both"/>
        <w:rPr>
          <w:rFonts w:ascii="Tahoma" w:eastAsia="SimSun" w:hAnsi="Tahoma"/>
          <w:kern w:val="3"/>
          <w:lang w:eastAsia="en-US"/>
        </w:rPr>
      </w:pPr>
      <w:r w:rsidRPr="00114BA6">
        <w:rPr>
          <w:rFonts w:ascii="Tahoma" w:hAnsi="Tahoma"/>
          <w:lang w:eastAsia="en-US"/>
        </w:rPr>
        <w:t>Strony dopuszczają możliwość zmiany cen w przypadku:</w:t>
      </w:r>
    </w:p>
    <w:p w14:paraId="6E42BE57" w14:textId="77777777" w:rsidR="00EC1221" w:rsidRDefault="00EC1221" w:rsidP="0034708E">
      <w:pPr>
        <w:widowControl w:val="0"/>
        <w:numPr>
          <w:ilvl w:val="1"/>
          <w:numId w:val="22"/>
        </w:numPr>
        <w:tabs>
          <w:tab w:val="left" w:pos="1440"/>
        </w:tabs>
        <w:suppressAutoHyphens w:val="0"/>
        <w:autoSpaceDN w:val="0"/>
        <w:ind w:left="709" w:hanging="283"/>
        <w:contextualSpacing/>
        <w:jc w:val="both"/>
        <w:textAlignment w:val="baseline"/>
        <w:rPr>
          <w:rFonts w:ascii="Tahoma" w:hAnsi="Tahoma"/>
          <w:lang w:eastAsia="en-US"/>
        </w:rPr>
      </w:pPr>
      <w:r w:rsidRPr="00EC1221">
        <w:rPr>
          <w:rFonts w:ascii="Tahoma" w:hAnsi="Tahoma"/>
          <w:lang w:eastAsia="en-US"/>
        </w:rPr>
        <w:t>zmiany stawki podatku VAT w przypadku ustawowej zmiany wysokości tego podatku – bez konieczności dokonywania zmiany umowy, a nowa stawka będzie stosowana automatycznie od dnia wejścia w życie stosownych przepisów powszechnie obowiązujących – przy czym zmianie ulega cena jednostkowa brutto, przy zachowaniu ceny jednostkowej netto,</w:t>
      </w:r>
    </w:p>
    <w:p w14:paraId="3054132C" w14:textId="3E41778A" w:rsidR="00401ECA" w:rsidRPr="00401ECA" w:rsidRDefault="00401ECA" w:rsidP="0034708E">
      <w:pPr>
        <w:widowControl w:val="0"/>
        <w:numPr>
          <w:ilvl w:val="1"/>
          <w:numId w:val="22"/>
        </w:numPr>
        <w:tabs>
          <w:tab w:val="left" w:pos="1440"/>
        </w:tabs>
        <w:suppressAutoHyphens w:val="0"/>
        <w:autoSpaceDN w:val="0"/>
        <w:ind w:left="709" w:hanging="283"/>
        <w:contextualSpacing/>
        <w:jc w:val="both"/>
        <w:textAlignment w:val="baseline"/>
        <w:rPr>
          <w:rFonts w:ascii="Tahoma" w:hAnsi="Tahoma"/>
          <w:lang w:eastAsia="en-US"/>
        </w:rPr>
      </w:pPr>
      <w:r w:rsidRPr="00EC1221">
        <w:rPr>
          <w:rFonts w:ascii="Tahoma" w:hAnsi="Tahoma"/>
          <w:lang w:eastAsia="en-US"/>
        </w:rPr>
        <w:t xml:space="preserve">zmiany stawki podatku </w:t>
      </w:r>
      <w:r>
        <w:rPr>
          <w:rFonts w:ascii="Tahoma" w:hAnsi="Tahoma"/>
          <w:lang w:eastAsia="en-US"/>
        </w:rPr>
        <w:t>akcyzowego</w:t>
      </w:r>
      <w:r w:rsidRPr="00EC1221">
        <w:rPr>
          <w:rFonts w:ascii="Tahoma" w:hAnsi="Tahoma"/>
          <w:lang w:eastAsia="en-US"/>
        </w:rPr>
        <w:t xml:space="preserve"> w przypadku ustawowej zmiany wysokości tego podatku – bez konieczności dokonywania zmiany umowy, a nowa stawka będzie stosowana automatycznie </w:t>
      </w:r>
      <w:r w:rsidRPr="00EC1221">
        <w:rPr>
          <w:rFonts w:ascii="Tahoma" w:hAnsi="Tahoma"/>
          <w:lang w:eastAsia="en-US"/>
        </w:rPr>
        <w:lastRenderedPageBreak/>
        <w:t>od dnia wejścia w życie stosownych przepisów powszechnie obowiązujących – przy czym zmianie ulega cena jednostkowa brutto, przy zachowaniu ceny jednostkowej netto,</w:t>
      </w:r>
    </w:p>
    <w:p w14:paraId="118CFE35" w14:textId="77777777" w:rsidR="00EC1221" w:rsidRPr="00EC1221" w:rsidRDefault="00EC1221" w:rsidP="0034708E">
      <w:pPr>
        <w:widowControl w:val="0"/>
        <w:numPr>
          <w:ilvl w:val="1"/>
          <w:numId w:val="22"/>
        </w:numPr>
        <w:tabs>
          <w:tab w:val="left" w:pos="1440"/>
        </w:tabs>
        <w:suppressAutoHyphens w:val="0"/>
        <w:autoSpaceDN w:val="0"/>
        <w:ind w:left="709" w:hanging="283"/>
        <w:contextualSpacing/>
        <w:jc w:val="both"/>
        <w:textAlignment w:val="baseline"/>
        <w:rPr>
          <w:rFonts w:ascii="Tahoma" w:hAnsi="Tahoma"/>
          <w:lang w:eastAsia="en-US"/>
        </w:rPr>
      </w:pPr>
      <w:bookmarkStart w:id="0" w:name="_Hlk520104686"/>
      <w:r w:rsidRPr="00EC1221">
        <w:rPr>
          <w:rFonts w:ascii="Tahoma" w:hAnsi="Tahoma"/>
          <w:lang w:eastAsia="en-US"/>
        </w:rPr>
        <w:t>okresowych obniżek cen przedmiotu zamówienia – bez konieczności dokonywania zmiany umowy. Wykonawca każdorazowo zobowiązany jest do poinformowania Zamawiającego o powyższym drogą pisemną lub e-mailem</w:t>
      </w:r>
      <w:bookmarkEnd w:id="0"/>
      <w:r w:rsidRPr="00EC1221">
        <w:rPr>
          <w:rFonts w:ascii="Tahoma" w:hAnsi="Tahoma"/>
          <w:lang w:eastAsia="en-US"/>
        </w:rPr>
        <w:t>,</w:t>
      </w:r>
    </w:p>
    <w:p w14:paraId="6900DF57" w14:textId="77777777" w:rsidR="00EC1221" w:rsidRPr="00EC1221" w:rsidRDefault="00EC1221" w:rsidP="0034708E">
      <w:pPr>
        <w:widowControl w:val="0"/>
        <w:numPr>
          <w:ilvl w:val="1"/>
          <w:numId w:val="22"/>
        </w:numPr>
        <w:tabs>
          <w:tab w:val="left" w:pos="1440"/>
        </w:tabs>
        <w:suppressAutoHyphens w:val="0"/>
        <w:autoSpaceDN w:val="0"/>
        <w:ind w:left="709" w:hanging="283"/>
        <w:contextualSpacing/>
        <w:jc w:val="both"/>
        <w:textAlignment w:val="baseline"/>
        <w:rPr>
          <w:rFonts w:ascii="Tahoma" w:hAnsi="Tahoma"/>
          <w:lang w:eastAsia="en-US"/>
        </w:rPr>
      </w:pPr>
      <w:r w:rsidRPr="00EC1221">
        <w:rPr>
          <w:rFonts w:ascii="Tahoma" w:hAnsi="Tahoma"/>
          <w:lang w:eastAsia="en-US"/>
        </w:rPr>
        <w:t>zmiana cen w związku z inflacją – tj. zmiana cen o półroczny wskaźnik cen asortymentów i usług konsumpcyjnych, publikowanych przez GUS, nie częściej niż co 6 miesięcy w okresie obowiązywania umowy, w przypadku gdy wskaźnik ten będzie wyższy niż 10%. W takim przypadku ceny ulegną zmianie o wysokość opublikowanego przez GUS półrocznego wskaźnika cen asortymentów i usług konsumpcyjnych w danym półroczu. Wykonawca zobligowany jest do przedłożenia Zamawiającemu uaktualnionego formularza cenowego do akceptacji wraz z wydrukiem obowiązującego i opublikowanego przez GUS wskaźnika inflacji. Po akceptacji proponowanych zmian, sporządzony zostanie Aneks do umowy</w:t>
      </w:r>
    </w:p>
    <w:p w14:paraId="6184ED43" w14:textId="627A4204" w:rsidR="00EC1221" w:rsidRPr="00EC1221" w:rsidRDefault="001B3F0A" w:rsidP="00114BA6">
      <w:pPr>
        <w:suppressAutoHyphens w:val="0"/>
        <w:autoSpaceDN w:val="0"/>
        <w:jc w:val="both"/>
        <w:rPr>
          <w:rFonts w:ascii="Tahoma" w:hAnsi="Tahoma"/>
          <w:kern w:val="3"/>
          <w:lang w:eastAsia="en-US"/>
        </w:rPr>
      </w:pPr>
      <w:r w:rsidRPr="00114BA6">
        <w:rPr>
          <w:rFonts w:ascii="Tahoma" w:hAnsi="Tahoma"/>
          <w:lang w:eastAsia="pl-PL"/>
        </w:rPr>
        <w:t>2</w:t>
      </w:r>
      <w:r w:rsidR="00D40224">
        <w:rPr>
          <w:rFonts w:ascii="Tahoma" w:hAnsi="Tahoma"/>
          <w:lang w:eastAsia="pl-PL"/>
        </w:rPr>
        <w:t>2</w:t>
      </w:r>
      <w:r w:rsidRPr="00114BA6">
        <w:rPr>
          <w:rFonts w:ascii="Tahoma" w:hAnsi="Tahoma"/>
          <w:lang w:eastAsia="pl-PL"/>
        </w:rPr>
        <w:t>)</w:t>
      </w:r>
      <w:r w:rsidR="00EC1221" w:rsidRPr="00EC1221">
        <w:rPr>
          <w:rFonts w:ascii="Tahoma" w:hAnsi="Tahoma"/>
          <w:lang w:eastAsia="pl-PL"/>
        </w:rPr>
        <w:t xml:space="preserve"> Zamawiający przewiduje możliwość zmiany wysokości wynagrodzenia Umowy:</w:t>
      </w:r>
    </w:p>
    <w:p w14:paraId="438F0951" w14:textId="5666BED0" w:rsidR="00EC1221" w:rsidRPr="00EC1221" w:rsidRDefault="00EC1221" w:rsidP="0034708E">
      <w:pPr>
        <w:widowControl w:val="0"/>
        <w:numPr>
          <w:ilvl w:val="0"/>
          <w:numId w:val="23"/>
        </w:numPr>
        <w:suppressAutoHyphens w:val="0"/>
        <w:autoSpaceDN w:val="0"/>
        <w:ind w:left="709" w:hanging="218"/>
        <w:jc w:val="both"/>
        <w:textAlignment w:val="baseline"/>
        <w:rPr>
          <w:rFonts w:ascii="Tahoma" w:hAnsi="Tahoma"/>
          <w:color w:val="FF0000"/>
          <w:kern w:val="3"/>
          <w:lang w:eastAsia="en-US"/>
        </w:rPr>
      </w:pPr>
      <w:r w:rsidRPr="00EC1221">
        <w:rPr>
          <w:rFonts w:ascii="Tahoma" w:hAnsi="Tahoma"/>
          <w:lang w:eastAsia="en-US"/>
        </w:rPr>
        <w:t xml:space="preserve">w przypadku zmiany cen materiałów lub kosztów związanych z realizacją zamówienia - Poziom zmiany ceny materiałów lub kosztów związanych z realizacją przedmiotu zamówienia uprawniający Strony Umowy do żądania zmiany wynagrodzenia ustala się na 10% w stosunku do poziomu cen tych samych materiałów lub kosztów z dnia składania ofert.  Pierwsza zmiana może być wprowadzona po upływie 6 miesięcy od daty obowiązywania umowy, a każda kolejna po upływie kolejnych 6 miesięcy. Zmiany cen materiałów lub kosztów muszą mieć bezpośredni wpływ na koszt wykonania zamówienia, co musi wykazać Wykonawca, poprzez przedłożenie kalkulacji ceny jednostkowej danego asortymentu na dzień składania oferty oraz na dzień proponowanej zmiany. W takiej sytuacji, Zamawiający dopuszcza możliwość zmiany cen jednostkowych (zarówno ich wzrost jak i spadek), po wykazaniu przez Wykonawcę wzrostu lub spadku cen, przez przedłożenie dokumentów wykazujących wzrost lub spadek cen materiałów lub kosztów związanych z realizacją zamówienia (należy przedłożyć dokumenty sprzed zmiany cen na etapie składania ofert oraz aktualnie obowiązujące ceny). Z przedłożonych dokumentów musi jednoznacznie wynikać wzrost lub spadek cen materiałów lub kosztów związanych z realizacją zamówienia w odniesieniu do każdej pozycji asortymentowej przedmiotu zamówienia o więcej niż 10% (tzw. kalkulacja ceny jednostkowej na etapie składania ofert oraz na dany etap zmiany poparta dokumentami powodującymi konieczność wprowadzonych zmian). Zamawiający zastrzega, że może samodzielnie wystąpić z wnioskiem do Wykonawcy o obniżenie ceny według zasad w/w. Po wykazaniu i udowodnieniu w/w zmian, strony dopuszczają możliwość podpisania aneksu do umowy zmieniającego ceny o wysokość procentową wykazanej zmiany. </w:t>
      </w:r>
      <w:r w:rsidRPr="00EC1221">
        <w:rPr>
          <w:rFonts w:ascii="Tahoma" w:hAnsi="Tahoma"/>
          <w:lang w:eastAsia="pl-PL"/>
        </w:rPr>
        <w:t>Maksymalna wartość w/w zmian nie może przekroczyć 50% wysokości aktualnie obowiązującej wartości brutto umowy</w:t>
      </w:r>
      <w:r w:rsidR="001B3F0A" w:rsidRPr="00114BA6">
        <w:rPr>
          <w:rFonts w:ascii="Tahoma" w:hAnsi="Tahoma"/>
          <w:lang w:eastAsia="pl-PL"/>
        </w:rPr>
        <w:t>;</w:t>
      </w:r>
    </w:p>
    <w:p w14:paraId="61654A6E" w14:textId="77777777" w:rsidR="00EC1221" w:rsidRPr="00EC1221" w:rsidRDefault="00EC1221" w:rsidP="00114BA6">
      <w:pPr>
        <w:widowControl w:val="0"/>
        <w:numPr>
          <w:ilvl w:val="0"/>
          <w:numId w:val="23"/>
        </w:numPr>
        <w:tabs>
          <w:tab w:val="left" w:pos="709"/>
        </w:tabs>
        <w:suppressAutoHyphens w:val="0"/>
        <w:autoSpaceDN w:val="0"/>
        <w:ind w:left="851"/>
        <w:jc w:val="both"/>
        <w:textAlignment w:val="baseline"/>
        <w:rPr>
          <w:rFonts w:ascii="Tahoma" w:hAnsi="Tahoma"/>
          <w:kern w:val="3"/>
          <w:lang w:eastAsia="en-US"/>
        </w:rPr>
      </w:pPr>
      <w:r w:rsidRPr="00EC1221">
        <w:rPr>
          <w:rFonts w:ascii="Tahoma" w:hAnsi="Tahoma"/>
          <w:lang w:eastAsia="en-US"/>
        </w:rPr>
        <w:t>Wykonawca, którego wynagrodzenie zostało zmienione zgodnie z pkt. 1), zobowiązany jest do zmiany wynagrodzenia przysługującego podwykonawcy (jeżeli występują), z którym zawarł umowę, w zakresie odpowiadającym zmianom cen materiałów lub kosztów dotyczących zobowiązania podwykonawcy, jeżeli łącznie spełnione są następujące warunki:</w:t>
      </w:r>
    </w:p>
    <w:p w14:paraId="05E54E48" w14:textId="211DDB6D" w:rsidR="00EC1221" w:rsidRPr="00114BA6" w:rsidRDefault="00EC1221" w:rsidP="00114BA6">
      <w:pPr>
        <w:pStyle w:val="Akapitzlist"/>
        <w:widowControl w:val="0"/>
        <w:numPr>
          <w:ilvl w:val="0"/>
          <w:numId w:val="26"/>
        </w:numPr>
        <w:tabs>
          <w:tab w:val="left" w:pos="-22331"/>
        </w:tabs>
        <w:suppressAutoHyphens w:val="0"/>
        <w:autoSpaceDN w:val="0"/>
        <w:ind w:firstLine="131"/>
        <w:jc w:val="both"/>
        <w:textAlignment w:val="baseline"/>
        <w:rPr>
          <w:rFonts w:ascii="Tahoma" w:hAnsi="Tahoma"/>
          <w:lang w:eastAsia="en-US"/>
        </w:rPr>
      </w:pPr>
      <w:r w:rsidRPr="00114BA6">
        <w:rPr>
          <w:rFonts w:ascii="Tahoma" w:hAnsi="Tahoma"/>
          <w:lang w:eastAsia="en-US"/>
        </w:rPr>
        <w:t>przedmiotem umowy są roboty budowlane, dostawy lub usługi,</w:t>
      </w:r>
    </w:p>
    <w:p w14:paraId="278DE219" w14:textId="10D6C93A" w:rsidR="00F530C0" w:rsidRPr="00114BA6" w:rsidRDefault="00EC1221" w:rsidP="00114BA6">
      <w:pPr>
        <w:pStyle w:val="Standard"/>
        <w:widowControl/>
        <w:numPr>
          <w:ilvl w:val="0"/>
          <w:numId w:val="26"/>
        </w:numPr>
        <w:suppressAutoHyphens w:val="0"/>
        <w:autoSpaceDE/>
        <w:autoSpaceDN w:val="0"/>
        <w:ind w:firstLine="131"/>
        <w:textAlignment w:val="baseline"/>
        <w:rPr>
          <w:sz w:val="20"/>
        </w:rPr>
      </w:pPr>
      <w:r w:rsidRPr="00114BA6">
        <w:rPr>
          <w:rFonts w:eastAsia="Times New Roman"/>
          <w:sz w:val="20"/>
          <w:lang w:eastAsia="en-US"/>
        </w:rPr>
        <w:t>okres obowiązywania umowy przekracza 6 miesięcy</w:t>
      </w:r>
    </w:p>
    <w:p w14:paraId="758F941C" w14:textId="0494B6D6" w:rsidR="001B3F0A" w:rsidRDefault="001B3F0A" w:rsidP="00D40224">
      <w:pPr>
        <w:pStyle w:val="Standard"/>
        <w:widowControl/>
        <w:numPr>
          <w:ilvl w:val="0"/>
          <w:numId w:val="30"/>
        </w:numPr>
        <w:tabs>
          <w:tab w:val="left" w:pos="568"/>
        </w:tabs>
        <w:suppressAutoHyphens w:val="0"/>
        <w:autoSpaceDE/>
        <w:autoSpaceDN w:val="0"/>
        <w:textAlignment w:val="baseline"/>
        <w:rPr>
          <w:sz w:val="20"/>
        </w:rPr>
      </w:pPr>
      <w:r w:rsidRPr="00114BA6">
        <w:rPr>
          <w:sz w:val="20"/>
        </w:rPr>
        <w:t xml:space="preserve">Ponadto w razie zaistnienia istotnej zmiany okoliczności powodującej, że wykonanie umowy nie leży w interesie publicznym, czego nie można było przewidzieć w chwili zawarcia umowy lub dalsze wykonywanie umowy może zagrozić podstawowemu interesu bezpieczeństwa państwa lub bezpieczeństwu publicznemu, Zamawiający może odstąpić od umowy </w:t>
      </w:r>
      <w:bookmarkStart w:id="1" w:name="_Hlk64539529"/>
      <w:r w:rsidRPr="00114BA6">
        <w:rPr>
          <w:sz w:val="20"/>
        </w:rPr>
        <w:t>w terminie 30 dni od dnia powzięcia wiadomości o tych okolicznościach</w:t>
      </w:r>
      <w:bookmarkEnd w:id="1"/>
      <w:r w:rsidRPr="00114BA6">
        <w:rPr>
          <w:sz w:val="20"/>
        </w:rPr>
        <w:t>.</w:t>
      </w:r>
    </w:p>
    <w:p w14:paraId="06BD5591" w14:textId="2D6F38A4" w:rsidR="00FB7E14" w:rsidRPr="00FB7E14" w:rsidRDefault="00FB7E14" w:rsidP="00FB7E14">
      <w:pPr>
        <w:pStyle w:val="Akapitzlist"/>
        <w:numPr>
          <w:ilvl w:val="0"/>
          <w:numId w:val="30"/>
        </w:numPr>
        <w:jc w:val="both"/>
        <w:rPr>
          <w:rFonts w:ascii="Tahoma" w:hAnsi="Tahoma"/>
        </w:rPr>
      </w:pPr>
      <w:r w:rsidRPr="00FB7E14">
        <w:rPr>
          <w:rFonts w:ascii="Tahoma" w:hAnsi="Tahoma"/>
        </w:rPr>
        <w:t xml:space="preserve">Zmniejszenie ilości punktów poboru gazu wskazanych w  SWZ (opis przedmiotu zamówienia) w przypadkach zmiany prawa własności, praw do administrowania, zmiany sposobu użytkowania i innych, nie stanowi zmiany umowy i może nastąpić na podstawie pisemnej informacji stron. </w:t>
      </w:r>
    </w:p>
    <w:p w14:paraId="481F64B2" w14:textId="77777777" w:rsidR="0044544D" w:rsidRPr="00114BA6" w:rsidRDefault="0044544D" w:rsidP="00114BA6">
      <w:pPr>
        <w:pStyle w:val="Standard"/>
        <w:widowControl/>
        <w:numPr>
          <w:ilvl w:val="0"/>
          <w:numId w:val="30"/>
        </w:numPr>
        <w:tabs>
          <w:tab w:val="left" w:pos="-5732"/>
        </w:tabs>
        <w:suppressAutoHyphens w:val="0"/>
        <w:autoSpaceDE/>
        <w:autoSpaceDN w:val="0"/>
        <w:textAlignment w:val="baseline"/>
        <w:rPr>
          <w:sz w:val="20"/>
        </w:rPr>
      </w:pPr>
      <w:r w:rsidRPr="00114BA6">
        <w:rPr>
          <w:sz w:val="20"/>
        </w:rPr>
        <w:t>Skorzystanie przez strony z prawa odstąpienia – skutkuje rozwiązaniem niniejszej umowy w pełnym zakresie.</w:t>
      </w:r>
    </w:p>
    <w:p w14:paraId="76715540" w14:textId="5F4EBEEF" w:rsidR="0044544D" w:rsidRPr="00114BA6" w:rsidRDefault="0044544D" w:rsidP="00114BA6">
      <w:pPr>
        <w:pStyle w:val="Akapitzlist"/>
        <w:widowControl w:val="0"/>
        <w:numPr>
          <w:ilvl w:val="0"/>
          <w:numId w:val="30"/>
        </w:numPr>
        <w:tabs>
          <w:tab w:val="left" w:pos="-5732"/>
        </w:tabs>
        <w:suppressAutoHyphens w:val="0"/>
        <w:autoSpaceDN w:val="0"/>
        <w:jc w:val="both"/>
        <w:textAlignment w:val="baseline"/>
        <w:rPr>
          <w:rFonts w:ascii="Tahoma" w:hAnsi="Tahoma"/>
          <w:kern w:val="3"/>
          <w:lang w:eastAsia="pl-PL"/>
        </w:rPr>
      </w:pPr>
      <w:r w:rsidRPr="00114BA6">
        <w:rPr>
          <w:rFonts w:ascii="Tahoma" w:hAnsi="Tahoma"/>
          <w:kern w:val="3"/>
          <w:lang w:eastAsia="pl-PL"/>
        </w:rPr>
        <w:t>Zamawiający może również odstąpić od umowy jeżeli zachodzi co najmniej jedna z niżej wskazanych okoliczności, w terminie 30 dni od dnia powzięcia wiadomości o tych okolicznościach:</w:t>
      </w:r>
    </w:p>
    <w:p w14:paraId="74E062B8" w14:textId="77777777" w:rsidR="0044544D" w:rsidRPr="0044544D" w:rsidRDefault="0044544D" w:rsidP="0034708E">
      <w:pPr>
        <w:widowControl w:val="0"/>
        <w:numPr>
          <w:ilvl w:val="0"/>
          <w:numId w:val="31"/>
        </w:numPr>
        <w:suppressAutoHyphens w:val="0"/>
        <w:autoSpaceDN w:val="0"/>
        <w:ind w:left="709" w:hanging="283"/>
        <w:jc w:val="both"/>
        <w:textAlignment w:val="baseline"/>
        <w:rPr>
          <w:rFonts w:ascii="Tahoma" w:hAnsi="Tahoma"/>
          <w:kern w:val="3"/>
          <w:lang w:eastAsia="en-US"/>
        </w:rPr>
      </w:pPr>
      <w:r w:rsidRPr="0044544D">
        <w:rPr>
          <w:rFonts w:ascii="Tahoma" w:hAnsi="Tahoma"/>
          <w:kern w:val="3"/>
          <w:lang w:eastAsia="pl-PL"/>
        </w:rPr>
        <w:t>zmiana umowy została dokonana z naruszeniem art. 454 i art. 455 Ustawy PZP,</w:t>
      </w:r>
    </w:p>
    <w:p w14:paraId="5F383164" w14:textId="77777777" w:rsidR="0044544D" w:rsidRPr="0044544D" w:rsidRDefault="0044544D" w:rsidP="0034708E">
      <w:pPr>
        <w:widowControl w:val="0"/>
        <w:numPr>
          <w:ilvl w:val="0"/>
          <w:numId w:val="31"/>
        </w:numPr>
        <w:suppressAutoHyphens w:val="0"/>
        <w:autoSpaceDN w:val="0"/>
        <w:ind w:left="709" w:hanging="283"/>
        <w:jc w:val="both"/>
        <w:textAlignment w:val="baseline"/>
        <w:rPr>
          <w:rFonts w:ascii="Tahoma" w:hAnsi="Tahoma"/>
          <w:kern w:val="3"/>
          <w:lang w:eastAsia="en-US"/>
        </w:rPr>
      </w:pPr>
      <w:r w:rsidRPr="0044544D">
        <w:rPr>
          <w:rFonts w:ascii="Tahoma" w:hAnsi="Tahoma"/>
          <w:kern w:val="3"/>
          <w:lang w:eastAsia="pl-PL"/>
        </w:rPr>
        <w:t>Wykonawca w chwili zawarcia umowy podlegał wykluczeniu z postepowania na podstawie art. 108 ustawy PZP.</w:t>
      </w:r>
    </w:p>
    <w:p w14:paraId="09CBAF9C" w14:textId="77777777" w:rsidR="0044544D" w:rsidRPr="0044544D" w:rsidRDefault="0044544D" w:rsidP="0034708E">
      <w:pPr>
        <w:widowControl w:val="0"/>
        <w:numPr>
          <w:ilvl w:val="0"/>
          <w:numId w:val="31"/>
        </w:numPr>
        <w:suppressAutoHyphens w:val="0"/>
        <w:autoSpaceDN w:val="0"/>
        <w:ind w:left="709" w:hanging="283"/>
        <w:jc w:val="both"/>
        <w:textAlignment w:val="baseline"/>
        <w:rPr>
          <w:rFonts w:ascii="Tahoma" w:hAnsi="Tahoma"/>
          <w:kern w:val="3"/>
          <w:lang w:eastAsia="pl-PL"/>
        </w:rPr>
      </w:pPr>
      <w:r w:rsidRPr="0044544D">
        <w:rPr>
          <w:rFonts w:ascii="Tahoma" w:hAnsi="Tahoma"/>
          <w:kern w:val="3"/>
          <w:lang w:eastAsia="pl-PL"/>
        </w:rPr>
        <w:t xml:space="preserve">Trybunał Sprawiedliwości Unii Europejskiej stwierdził, w ramach procedury przewidzianej w art. </w:t>
      </w:r>
      <w:r w:rsidRPr="0044544D">
        <w:rPr>
          <w:rFonts w:ascii="Tahoma" w:hAnsi="Tahoma"/>
          <w:kern w:val="3"/>
          <w:lang w:eastAsia="pl-PL"/>
        </w:rPr>
        <w:lastRenderedPageBreak/>
        <w:t>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r w:rsidRPr="0044544D">
        <w:rPr>
          <w:rFonts w:ascii="Tahoma" w:hAnsi="Tahoma"/>
          <w:kern w:val="3"/>
          <w:lang w:val="en-US" w:eastAsia="pl-PL"/>
        </w:rPr>
        <w:t>.</w:t>
      </w:r>
    </w:p>
    <w:p w14:paraId="40903152" w14:textId="77777777" w:rsidR="006756B9" w:rsidRPr="00114BA6" w:rsidRDefault="006756B9" w:rsidP="00D40224">
      <w:pPr>
        <w:pStyle w:val="Standard"/>
        <w:widowControl/>
        <w:numPr>
          <w:ilvl w:val="0"/>
          <w:numId w:val="39"/>
        </w:numPr>
        <w:autoSpaceDE/>
        <w:autoSpaceDN w:val="0"/>
        <w:textAlignment w:val="baseline"/>
        <w:rPr>
          <w:sz w:val="20"/>
        </w:rPr>
      </w:pPr>
      <w:r w:rsidRPr="00114BA6">
        <w:rPr>
          <w:sz w:val="20"/>
        </w:rPr>
        <w:t>Do spraw nie ujętych umową mają zastosowanie przepisy Kodeksu Cywilnego oraz ustawy Prawo Zamówień Publicznych.</w:t>
      </w:r>
    </w:p>
    <w:p w14:paraId="60BE2B43" w14:textId="77777777" w:rsidR="006756B9" w:rsidRDefault="006756B9" w:rsidP="00114BA6">
      <w:pPr>
        <w:pStyle w:val="Standard"/>
        <w:widowControl/>
        <w:numPr>
          <w:ilvl w:val="0"/>
          <w:numId w:val="39"/>
        </w:numPr>
        <w:autoSpaceDE/>
        <w:autoSpaceDN w:val="0"/>
        <w:textAlignment w:val="baseline"/>
        <w:rPr>
          <w:sz w:val="20"/>
        </w:rPr>
      </w:pPr>
      <w:r w:rsidRPr="00114BA6">
        <w:rPr>
          <w:sz w:val="20"/>
        </w:rPr>
        <w:t>Do rozstrzygania sporów mogących wynikać na tle stosowania niniejszej umowy będzie właściwy dla Zamawiającego sąd powszechny.</w:t>
      </w:r>
    </w:p>
    <w:p w14:paraId="4C6AE26C" w14:textId="77777777" w:rsidR="00F530C0" w:rsidRPr="00114BA6" w:rsidRDefault="00F530C0" w:rsidP="00114BA6">
      <w:pPr>
        <w:jc w:val="both"/>
        <w:rPr>
          <w:rFonts w:ascii="Tahoma" w:hAnsi="Tahoma"/>
          <w:b/>
          <w:bCs/>
        </w:rPr>
      </w:pPr>
    </w:p>
    <w:p w14:paraId="35DBF6AE" w14:textId="77777777" w:rsidR="000E40C5" w:rsidRPr="000E40C5" w:rsidRDefault="000E40C5" w:rsidP="00114BA6">
      <w:pPr>
        <w:jc w:val="both"/>
        <w:rPr>
          <w:rFonts w:ascii="Tahoma" w:hAnsi="Tahoma"/>
          <w:b/>
          <w:bCs/>
        </w:rPr>
      </w:pPr>
    </w:p>
    <w:p w14:paraId="15FD51E3" w14:textId="77777777" w:rsidR="000E40C5" w:rsidRPr="000E40C5" w:rsidRDefault="000E40C5" w:rsidP="000E40C5">
      <w:pPr>
        <w:spacing w:before="100"/>
        <w:ind w:left="390"/>
        <w:jc w:val="center"/>
        <w:rPr>
          <w:rFonts w:cs="Times New Roman"/>
          <w:lang w:eastAsia="zh-CN"/>
        </w:rPr>
      </w:pPr>
      <w:r w:rsidRPr="000E40C5">
        <w:rPr>
          <w:rFonts w:ascii="Tahoma" w:hAnsi="Tahoma"/>
          <w:b/>
        </w:rPr>
        <w:t>POWIĄZANIA KAPITAŁOWE</w:t>
      </w:r>
    </w:p>
    <w:p w14:paraId="323B26F7" w14:textId="77777777" w:rsidR="000E40C5" w:rsidRPr="000E40C5" w:rsidRDefault="000E40C5" w:rsidP="000E40C5">
      <w:pPr>
        <w:spacing w:before="100"/>
        <w:ind w:left="390" w:hanging="390"/>
        <w:jc w:val="both"/>
      </w:pPr>
      <w:r w:rsidRPr="000E40C5">
        <w:rPr>
          <w:rFonts w:ascii="Tahoma" w:hAnsi="Tahoma"/>
          <w:bCs/>
        </w:rPr>
        <w:t>1.</w:t>
      </w:r>
      <w:r w:rsidRPr="000E40C5">
        <w:rPr>
          <w:rFonts w:ascii="Tahoma" w:hAnsi="Tahoma"/>
          <w:bCs/>
        </w:rPr>
        <w:tab/>
        <w:t>Żaden z udziałów w kapitale zakładowym Wykonawcy nie jest własnością bezpośrednio lub pośrednio, ani nie został na nim ustanowiony zastaw ani użytkowanie na rzecz:</w:t>
      </w:r>
    </w:p>
    <w:p w14:paraId="2252AB3C" w14:textId="77777777" w:rsidR="000E40C5" w:rsidRPr="000E40C5" w:rsidRDefault="000E40C5" w:rsidP="000E40C5">
      <w:pPr>
        <w:spacing w:before="100"/>
        <w:ind w:left="390"/>
        <w:jc w:val="both"/>
      </w:pPr>
      <w:r w:rsidRPr="000E40C5">
        <w:rPr>
          <w:rFonts w:ascii="Tahoma" w:hAnsi="Tahoma"/>
          <w:bCs/>
        </w:rPr>
        <w:t>1)</w:t>
      </w:r>
      <w:r w:rsidRPr="000E40C5">
        <w:rPr>
          <w:rFonts w:ascii="Tahoma" w:hAnsi="Tahoma"/>
          <w:bCs/>
        </w:rPr>
        <w:tab/>
        <w:t xml:space="preserve"> Podmiotów Sankcjonowanych, ich Podmiotów Powiązanych lub Krewnych,</w:t>
      </w:r>
    </w:p>
    <w:p w14:paraId="587FE24B" w14:textId="77777777" w:rsidR="000E40C5" w:rsidRPr="000E40C5" w:rsidRDefault="000E40C5" w:rsidP="000E40C5">
      <w:pPr>
        <w:spacing w:before="100"/>
        <w:ind w:left="390"/>
        <w:jc w:val="both"/>
      </w:pPr>
      <w:r w:rsidRPr="000E40C5">
        <w:rPr>
          <w:rFonts w:ascii="Tahoma" w:hAnsi="Tahoma"/>
          <w:bCs/>
        </w:rPr>
        <w:t>2)</w:t>
      </w:r>
      <w:r w:rsidRPr="000E40C5">
        <w:rPr>
          <w:rFonts w:ascii="Tahoma" w:hAnsi="Tahoma"/>
          <w:bCs/>
        </w:rPr>
        <w:tab/>
        <w:t xml:space="preserve"> Władz Rosyjskich,</w:t>
      </w:r>
    </w:p>
    <w:p w14:paraId="3D193000" w14:textId="77777777" w:rsidR="000E40C5" w:rsidRPr="000E40C5" w:rsidRDefault="000E40C5" w:rsidP="000E40C5">
      <w:pPr>
        <w:spacing w:before="100"/>
        <w:ind w:left="390"/>
        <w:jc w:val="both"/>
      </w:pPr>
      <w:r w:rsidRPr="000E40C5">
        <w:rPr>
          <w:rFonts w:ascii="Tahoma" w:hAnsi="Tahoma"/>
          <w:bCs/>
        </w:rPr>
        <w:t>3)</w:t>
      </w:r>
      <w:r w:rsidRPr="000E40C5">
        <w:rPr>
          <w:rFonts w:ascii="Tahoma" w:hAnsi="Tahoma"/>
          <w:bCs/>
        </w:rPr>
        <w:tab/>
        <w:t xml:space="preserve"> Według Najlepszej Wiedzy Strony, jakiekolwiek podmiotu lub osoby, która korzysta z kapitału lub finansowania zapewnionego przez Podmiot Sankcjonowany</w:t>
      </w:r>
    </w:p>
    <w:p w14:paraId="0A533C95" w14:textId="77777777" w:rsidR="000E40C5" w:rsidRPr="000E40C5" w:rsidRDefault="000E40C5" w:rsidP="000E40C5">
      <w:pPr>
        <w:spacing w:before="100"/>
        <w:ind w:left="390" w:hanging="390"/>
        <w:jc w:val="both"/>
      </w:pPr>
      <w:r w:rsidRPr="000E40C5">
        <w:rPr>
          <w:rFonts w:ascii="Tahoma" w:hAnsi="Tahoma"/>
          <w:bCs/>
        </w:rPr>
        <w:t>2.</w:t>
      </w:r>
      <w:r w:rsidRPr="000E40C5">
        <w:rPr>
          <w:rFonts w:ascii="Tahoma" w:hAnsi="Tahoma"/>
          <w:bCs/>
        </w:rPr>
        <w:tab/>
        <w:t>Żaden z podmiotów wskazanych w Punkcie 1 bezpośrednio lub pośrednio:</w:t>
      </w:r>
    </w:p>
    <w:p w14:paraId="3647C5AB" w14:textId="77777777" w:rsidR="000E40C5" w:rsidRPr="000E40C5" w:rsidRDefault="000E40C5" w:rsidP="000E40C5">
      <w:pPr>
        <w:spacing w:before="100"/>
        <w:ind w:left="390"/>
        <w:jc w:val="both"/>
      </w:pPr>
      <w:r w:rsidRPr="000E40C5">
        <w:rPr>
          <w:rFonts w:ascii="Tahoma" w:hAnsi="Tahoma"/>
          <w:bCs/>
        </w:rPr>
        <w:t>1)</w:t>
      </w:r>
      <w:r w:rsidRPr="000E40C5">
        <w:rPr>
          <w:rFonts w:ascii="Tahoma" w:hAnsi="Tahoma"/>
          <w:bCs/>
        </w:rPr>
        <w:tab/>
        <w:t xml:space="preserve"> nie posiada ani nie kontroluje żadnych praw głosu w organach korporacyjnych Wykonawcy,</w:t>
      </w:r>
    </w:p>
    <w:p w14:paraId="7A770B08" w14:textId="77777777" w:rsidR="000E40C5" w:rsidRPr="000E40C5" w:rsidRDefault="000E40C5" w:rsidP="000E40C5">
      <w:pPr>
        <w:spacing w:before="100"/>
        <w:ind w:left="390"/>
        <w:jc w:val="both"/>
      </w:pPr>
      <w:r w:rsidRPr="000E40C5">
        <w:rPr>
          <w:rFonts w:ascii="Tahoma" w:hAnsi="Tahoma"/>
          <w:bCs/>
        </w:rPr>
        <w:t>2)</w:t>
      </w:r>
      <w:r w:rsidRPr="000E40C5">
        <w:rPr>
          <w:rFonts w:ascii="Tahoma" w:hAnsi="Tahoma"/>
          <w:bCs/>
        </w:rPr>
        <w:tab/>
        <w:t xml:space="preserve"> nie ma prawa wyboru, ani nie kontroluje wyborów członków organów korporacyjnych Strony,</w:t>
      </w:r>
    </w:p>
    <w:p w14:paraId="43EF30E9" w14:textId="77777777" w:rsidR="000E40C5" w:rsidRPr="000E40C5" w:rsidRDefault="000E40C5" w:rsidP="000E40C5">
      <w:pPr>
        <w:spacing w:before="100"/>
        <w:ind w:left="390"/>
        <w:jc w:val="both"/>
      </w:pPr>
      <w:r w:rsidRPr="000E40C5">
        <w:rPr>
          <w:rFonts w:ascii="Tahoma" w:hAnsi="Tahoma"/>
          <w:bCs/>
        </w:rPr>
        <w:t>3)</w:t>
      </w:r>
      <w:r w:rsidRPr="000E40C5">
        <w:rPr>
          <w:rFonts w:ascii="Tahoma" w:hAnsi="Tahoma"/>
          <w:bCs/>
        </w:rPr>
        <w:tab/>
        <w:t xml:space="preserve"> nie ma uprawnień umożliwiających wpływanie na sposób prowadzenia działalności przez Stronę lub jej Podmiot Powiązany, czy to poprzez posiadanie udziałów w kapitale zakładowym spółki kapitałowej, członkostwa w spółce osobowej, na podstawie innych uprawnień właścicielskich, na podstawie umowy lub w inny sposób;</w:t>
      </w:r>
    </w:p>
    <w:p w14:paraId="4A342FFD" w14:textId="77777777" w:rsidR="000E40C5" w:rsidRPr="000E40C5" w:rsidRDefault="000E40C5" w:rsidP="000E40C5">
      <w:pPr>
        <w:spacing w:before="100"/>
        <w:ind w:left="390"/>
        <w:jc w:val="both"/>
      </w:pPr>
      <w:r w:rsidRPr="000E40C5">
        <w:rPr>
          <w:rFonts w:ascii="Tahoma" w:hAnsi="Tahoma"/>
          <w:bCs/>
        </w:rPr>
        <w:t>4)</w:t>
      </w:r>
      <w:r w:rsidRPr="000E40C5">
        <w:rPr>
          <w:rFonts w:ascii="Tahoma" w:hAnsi="Tahoma"/>
          <w:bCs/>
        </w:rPr>
        <w:tab/>
        <w:t>nie zapewnia Wykonawcy żadnego finansowania.</w:t>
      </w:r>
    </w:p>
    <w:p w14:paraId="4F21D27A" w14:textId="77777777" w:rsidR="000E40C5" w:rsidRPr="000E40C5" w:rsidRDefault="000E40C5" w:rsidP="000E40C5">
      <w:pPr>
        <w:spacing w:before="100"/>
        <w:ind w:left="390" w:hanging="390"/>
        <w:jc w:val="both"/>
      </w:pPr>
      <w:r w:rsidRPr="000E40C5">
        <w:rPr>
          <w:rFonts w:ascii="Tahoma" w:hAnsi="Tahoma"/>
          <w:bCs/>
        </w:rPr>
        <w:t>3.</w:t>
      </w:r>
      <w:r w:rsidRPr="000E40C5">
        <w:rPr>
          <w:rFonts w:ascii="Tahoma" w:hAnsi="Tahoma"/>
          <w:bCs/>
        </w:rPr>
        <w:tab/>
        <w:t>Wykonawca, jej podmioty powiązane oraz, zgodnie z najlepszą wiedzą Wykonawcy, jej krewni nie prowadzą żadnych działań wspierających, związanych ze wspieraniem podmiotów objętych sankcjami lub władz Rosyjskich w związku z ich zaangażowaniem w inwazje na Ukrainę w jakikolwiek sposób, w tym nie udzielają wsparcia finansowego. Wykonawca, jej podmioty powiązane oraz, zgodnie z najlepsza wiedzą Wykonawcy, jej krewni nie czerpią żadnych korzyści z zaangażowaniem w inwazję na Ukrainę.</w:t>
      </w:r>
    </w:p>
    <w:p w14:paraId="5F947CCB" w14:textId="77777777" w:rsidR="000E40C5" w:rsidRPr="000E40C5" w:rsidRDefault="000E40C5" w:rsidP="000E40C5">
      <w:pPr>
        <w:spacing w:before="100"/>
        <w:ind w:left="390" w:hanging="390"/>
        <w:jc w:val="both"/>
      </w:pPr>
      <w:r w:rsidRPr="000E40C5">
        <w:rPr>
          <w:rFonts w:ascii="Tahoma" w:hAnsi="Tahoma"/>
          <w:bCs/>
        </w:rPr>
        <w:t>4.</w:t>
      </w:r>
      <w:r w:rsidRPr="000E40C5">
        <w:rPr>
          <w:rFonts w:ascii="Tahoma" w:hAnsi="Tahoma"/>
          <w:bCs/>
        </w:rPr>
        <w:tab/>
        <w:t>Wykonawca, jej podmioty powiązane i krewni nie uchylają się od jakichkolwiek sankcji, nie naruszają przepisów nakładających sankcje ani nie ułatwiają innym podmiotom uchylania się od sankcji.</w:t>
      </w:r>
    </w:p>
    <w:p w14:paraId="5E8455DB" w14:textId="77777777" w:rsidR="000E40C5" w:rsidRPr="000E40C5" w:rsidRDefault="000E40C5" w:rsidP="000E40C5">
      <w:pPr>
        <w:spacing w:before="100"/>
        <w:ind w:left="390" w:hanging="390"/>
        <w:jc w:val="both"/>
      </w:pPr>
      <w:r w:rsidRPr="000E40C5">
        <w:rPr>
          <w:rFonts w:ascii="Tahoma" w:hAnsi="Tahoma"/>
          <w:bCs/>
        </w:rPr>
        <w:t>5.</w:t>
      </w:r>
      <w:r w:rsidRPr="000E40C5">
        <w:rPr>
          <w:rFonts w:ascii="Tahoma" w:hAnsi="Tahoma"/>
          <w:bCs/>
        </w:rPr>
        <w:tab/>
        <w:t>Wykonawca przestrzega wszelkich obowiązujących praw i przepisów dotyczących  Sankcji.</w:t>
      </w:r>
    </w:p>
    <w:p w14:paraId="15DE91CC" w14:textId="77777777" w:rsidR="000E40C5" w:rsidRPr="000E40C5" w:rsidRDefault="000E40C5" w:rsidP="000E40C5">
      <w:pPr>
        <w:spacing w:before="100"/>
        <w:ind w:left="390" w:hanging="390"/>
        <w:jc w:val="both"/>
      </w:pPr>
      <w:r w:rsidRPr="000E40C5">
        <w:rPr>
          <w:rFonts w:ascii="Tahoma" w:hAnsi="Tahoma"/>
          <w:bCs/>
        </w:rPr>
        <w:t>6.</w:t>
      </w:r>
      <w:r w:rsidRPr="000E40C5">
        <w:rPr>
          <w:rFonts w:ascii="Tahoma" w:hAnsi="Tahoma"/>
          <w:bCs/>
        </w:rPr>
        <w:tab/>
        <w:t>Wykonawca ani jej podmioty powiązane nie prowadzą żadnej działalności sankcjonowanej.</w:t>
      </w:r>
    </w:p>
    <w:p w14:paraId="168BED6B" w14:textId="77777777" w:rsidR="000E40C5" w:rsidRPr="000E40C5" w:rsidRDefault="000E40C5" w:rsidP="000E40C5">
      <w:pPr>
        <w:spacing w:before="100"/>
        <w:ind w:left="390" w:hanging="390"/>
        <w:jc w:val="both"/>
      </w:pPr>
      <w:r w:rsidRPr="000E40C5">
        <w:rPr>
          <w:rFonts w:ascii="Tahoma" w:hAnsi="Tahoma"/>
          <w:bCs/>
        </w:rPr>
        <w:t>7.</w:t>
      </w:r>
      <w:r w:rsidRPr="000E40C5">
        <w:rPr>
          <w:rFonts w:ascii="Tahoma" w:hAnsi="Tahoma"/>
          <w:bCs/>
        </w:rPr>
        <w:tab/>
        <w:t>Wykonawca nie jest stroną żadnej umowy, nie składa żadnych zamówień, ani nie nabywa żadnych usług od:</w:t>
      </w:r>
    </w:p>
    <w:p w14:paraId="111FDF17" w14:textId="77777777" w:rsidR="000E40C5" w:rsidRPr="000E40C5" w:rsidRDefault="000E40C5" w:rsidP="000E40C5">
      <w:pPr>
        <w:spacing w:before="100"/>
        <w:ind w:left="390"/>
        <w:jc w:val="both"/>
      </w:pPr>
      <w:r w:rsidRPr="000E40C5">
        <w:rPr>
          <w:rFonts w:ascii="Tahoma" w:hAnsi="Tahoma"/>
          <w:bCs/>
        </w:rPr>
        <w:t>1)</w:t>
      </w:r>
      <w:r w:rsidRPr="000E40C5">
        <w:rPr>
          <w:rFonts w:ascii="Tahoma" w:hAnsi="Tahoma"/>
          <w:bCs/>
        </w:rPr>
        <w:tab/>
        <w:t xml:space="preserve"> podmiotów sankcjonowanych, ich podmiotów powiązanych, lub według najlepszej wiedzy Wykonawcy krewnych podmiotów sankcjonowanych,</w:t>
      </w:r>
    </w:p>
    <w:p w14:paraId="0EBE3832" w14:textId="77777777" w:rsidR="000E40C5" w:rsidRPr="000E40C5" w:rsidRDefault="000E40C5" w:rsidP="000E40C5">
      <w:pPr>
        <w:spacing w:before="100"/>
        <w:ind w:left="390"/>
        <w:jc w:val="both"/>
      </w:pPr>
      <w:r w:rsidRPr="000E40C5">
        <w:rPr>
          <w:rFonts w:ascii="Tahoma" w:hAnsi="Tahoma"/>
          <w:bCs/>
        </w:rPr>
        <w:t>2)</w:t>
      </w:r>
      <w:r w:rsidRPr="000E40C5">
        <w:rPr>
          <w:rFonts w:ascii="Tahoma" w:hAnsi="Tahoma"/>
          <w:bCs/>
        </w:rPr>
        <w:tab/>
        <w:t xml:space="preserve"> władz Rosyjskich,</w:t>
      </w:r>
    </w:p>
    <w:p w14:paraId="327E8A8A" w14:textId="77777777" w:rsidR="000E40C5" w:rsidRPr="000E40C5" w:rsidRDefault="000E40C5" w:rsidP="000E40C5">
      <w:pPr>
        <w:spacing w:before="100"/>
        <w:ind w:left="390"/>
        <w:jc w:val="both"/>
      </w:pPr>
      <w:r w:rsidRPr="000E40C5">
        <w:rPr>
          <w:rFonts w:ascii="Tahoma" w:hAnsi="Tahoma"/>
          <w:bCs/>
        </w:rPr>
        <w:t>3)</w:t>
      </w:r>
      <w:r w:rsidRPr="000E40C5">
        <w:rPr>
          <w:rFonts w:ascii="Tahoma" w:hAnsi="Tahoma"/>
          <w:bCs/>
        </w:rPr>
        <w:tab/>
        <w:t xml:space="preserve"> żadnego podmiotu ani osoby, która korzysta z kapitału dostarczonego przez jakikolwiek podmiot sankcjonowany lub władze Rosyjskie</w:t>
      </w:r>
    </w:p>
    <w:p w14:paraId="3B95A8B3" w14:textId="77777777" w:rsidR="000E40C5" w:rsidRPr="000E40C5" w:rsidRDefault="000E40C5" w:rsidP="000E40C5">
      <w:pPr>
        <w:spacing w:before="100"/>
        <w:ind w:left="390" w:hanging="390"/>
        <w:jc w:val="both"/>
      </w:pPr>
      <w:r w:rsidRPr="000E40C5">
        <w:rPr>
          <w:rFonts w:ascii="Tahoma" w:hAnsi="Tahoma"/>
          <w:bCs/>
        </w:rPr>
        <w:t>8.</w:t>
      </w:r>
      <w:r w:rsidRPr="000E40C5">
        <w:rPr>
          <w:rFonts w:ascii="Tahoma" w:hAnsi="Tahoma"/>
          <w:bCs/>
        </w:rPr>
        <w:tab/>
        <w:t>Wykonawca nie jest stroną żadnej umowy, na podstawie której podmioty wskazane w punktach 7.1-7.3 mogą odnosić jakąkolwiek korzyść lub są w jakikolwiek sposób zaangażowane.</w:t>
      </w:r>
    </w:p>
    <w:p w14:paraId="7775A953" w14:textId="77777777" w:rsidR="000E40C5" w:rsidRPr="000E40C5" w:rsidRDefault="000E40C5" w:rsidP="000E40C5">
      <w:pPr>
        <w:spacing w:before="100"/>
        <w:ind w:left="390" w:hanging="390"/>
        <w:jc w:val="both"/>
      </w:pPr>
      <w:r w:rsidRPr="000E40C5">
        <w:rPr>
          <w:rFonts w:ascii="Tahoma" w:hAnsi="Tahoma"/>
          <w:bCs/>
        </w:rPr>
        <w:t>9.</w:t>
      </w:r>
      <w:r w:rsidRPr="000E40C5">
        <w:rPr>
          <w:rFonts w:ascii="Tahoma" w:hAnsi="Tahoma"/>
          <w:bCs/>
        </w:rPr>
        <w:tab/>
        <w:t>Wykonawca nie angażuje się w żadne projekty biznesowe i relacje z podmiotami sankcjonowanymi.</w:t>
      </w:r>
    </w:p>
    <w:p w14:paraId="768AF0B6" w14:textId="77777777" w:rsidR="000E40C5" w:rsidRPr="000E40C5" w:rsidRDefault="000E40C5" w:rsidP="00114BA6">
      <w:pPr>
        <w:jc w:val="both"/>
        <w:rPr>
          <w:rFonts w:ascii="Tahoma" w:hAnsi="Tahoma"/>
          <w:b/>
          <w:bCs/>
        </w:rPr>
      </w:pPr>
    </w:p>
    <w:p w14:paraId="0613E476" w14:textId="77777777" w:rsidR="000E40C5" w:rsidRDefault="000E40C5" w:rsidP="00114BA6">
      <w:pPr>
        <w:jc w:val="both"/>
        <w:rPr>
          <w:rFonts w:ascii="Tahoma" w:hAnsi="Tahoma"/>
          <w:b/>
          <w:bCs/>
        </w:rPr>
      </w:pPr>
    </w:p>
    <w:p w14:paraId="662D875E" w14:textId="1DAE73EE" w:rsidR="002B4914" w:rsidRDefault="002B4914" w:rsidP="00B53827"/>
    <w:sectPr w:rsidR="002B4914">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694"/>
    <w:multiLevelType w:val="multilevel"/>
    <w:tmpl w:val="37F0809E"/>
    <w:lvl w:ilvl="0">
      <w:start w:val="20"/>
      <w:numFmt w:val="decimal"/>
      <w:lvlText w:val="%1)"/>
      <w:lvlJc w:val="left"/>
      <w:pPr>
        <w:tabs>
          <w:tab w:val="num" w:pos="360"/>
        </w:tabs>
        <w:ind w:left="360" w:hanging="360"/>
      </w:pPr>
      <w:rPr>
        <w:rFonts w:hint="default"/>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10B05BB4"/>
    <w:multiLevelType w:val="hybridMultilevel"/>
    <w:tmpl w:val="B658E97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BE13B2C"/>
    <w:multiLevelType w:val="multilevel"/>
    <w:tmpl w:val="99640E76"/>
    <w:lvl w:ilvl="0">
      <w:start w:val="1"/>
      <w:numFmt w:val="decimal"/>
      <w:lvlText w:val="%1."/>
      <w:lvlJc w:val="left"/>
      <w:pPr>
        <w:ind w:left="720" w:hanging="360"/>
      </w:pPr>
      <w:rPr>
        <w:sz w:val="18"/>
        <w:szCs w:val="18"/>
      </w:rPr>
    </w:lvl>
    <w:lvl w:ilvl="1">
      <w:start w:val="1"/>
      <w:numFmt w:val="decimal"/>
      <w:lvlText w:val="%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3" w15:restartNumberingAfterBreak="0">
    <w:nsid w:val="1D114477"/>
    <w:multiLevelType w:val="multilevel"/>
    <w:tmpl w:val="9A4E1CE2"/>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4" w15:restartNumberingAfterBreak="0">
    <w:nsid w:val="1FCD205C"/>
    <w:multiLevelType w:val="multilevel"/>
    <w:tmpl w:val="6800315E"/>
    <w:styleLink w:val="WWNum12"/>
    <w:lvl w:ilvl="0">
      <w:start w:val="1"/>
      <w:numFmt w:val="decimal"/>
      <w:lvlText w:val="%1)"/>
      <w:lvlJc w:val="left"/>
      <w:pPr>
        <w:ind w:left="643" w:hanging="360"/>
      </w:pPr>
      <w:rPr>
        <w:rFonts w:eastAsia="Times New Roman" w:cs="Tahoma"/>
        <w:sz w:val="18"/>
      </w:rPr>
    </w:lvl>
    <w:lvl w:ilvl="1">
      <w:start w:val="1"/>
      <w:numFmt w:val="lowerLetter"/>
      <w:lvlText w:val="%2."/>
      <w:lvlJc w:val="left"/>
      <w:pPr>
        <w:ind w:left="1363" w:hanging="360"/>
      </w:pPr>
    </w:lvl>
    <w:lvl w:ilvl="2">
      <w:start w:val="1"/>
      <w:numFmt w:val="lowerRoman"/>
      <w:lvlText w:val="%1.%2.%3."/>
      <w:lvlJc w:val="right"/>
      <w:pPr>
        <w:ind w:left="2083" w:hanging="180"/>
      </w:pPr>
    </w:lvl>
    <w:lvl w:ilvl="3">
      <w:start w:val="1"/>
      <w:numFmt w:val="decimal"/>
      <w:lvlText w:val="%1.%2.%3.%4."/>
      <w:lvlJc w:val="left"/>
      <w:pPr>
        <w:ind w:left="2803" w:hanging="360"/>
      </w:pPr>
    </w:lvl>
    <w:lvl w:ilvl="4">
      <w:start w:val="1"/>
      <w:numFmt w:val="lowerLetter"/>
      <w:lvlText w:val="%1.%2.%3.%4.%5."/>
      <w:lvlJc w:val="left"/>
      <w:pPr>
        <w:ind w:left="3523" w:hanging="360"/>
      </w:pPr>
    </w:lvl>
    <w:lvl w:ilvl="5">
      <w:start w:val="1"/>
      <w:numFmt w:val="lowerRoman"/>
      <w:lvlText w:val="%1.%2.%3.%4.%5.%6."/>
      <w:lvlJc w:val="right"/>
      <w:pPr>
        <w:ind w:left="4243" w:hanging="180"/>
      </w:pPr>
    </w:lvl>
    <w:lvl w:ilvl="6">
      <w:start w:val="1"/>
      <w:numFmt w:val="decimal"/>
      <w:lvlText w:val="%1.%2.%3.%4.%5.%6.%7."/>
      <w:lvlJc w:val="left"/>
      <w:pPr>
        <w:ind w:left="4963" w:hanging="360"/>
      </w:pPr>
    </w:lvl>
    <w:lvl w:ilvl="7">
      <w:start w:val="1"/>
      <w:numFmt w:val="lowerLetter"/>
      <w:lvlText w:val="%1.%2.%3.%4.%5.%6.%7.%8."/>
      <w:lvlJc w:val="left"/>
      <w:pPr>
        <w:ind w:left="5683" w:hanging="360"/>
      </w:pPr>
    </w:lvl>
    <w:lvl w:ilvl="8">
      <w:start w:val="1"/>
      <w:numFmt w:val="lowerRoman"/>
      <w:lvlText w:val="%1.%2.%3.%4.%5.%6.%7.%8.%9."/>
      <w:lvlJc w:val="right"/>
      <w:pPr>
        <w:ind w:left="6403" w:hanging="180"/>
      </w:pPr>
    </w:lvl>
  </w:abstractNum>
  <w:abstractNum w:abstractNumId="5" w15:restartNumberingAfterBreak="0">
    <w:nsid w:val="207A294F"/>
    <w:multiLevelType w:val="hybridMultilevel"/>
    <w:tmpl w:val="9E26B9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EC46C7"/>
    <w:multiLevelType w:val="multilevel"/>
    <w:tmpl w:val="EE98E80E"/>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66C33E2"/>
    <w:multiLevelType w:val="multilevel"/>
    <w:tmpl w:val="2DA67DAA"/>
    <w:styleLink w:val="WWNum9"/>
    <w:lvl w:ilvl="0">
      <w:start w:val="3"/>
      <w:numFmt w:val="decimal"/>
      <w:lvlText w:val="%1."/>
      <w:lvlJc w:val="left"/>
      <w:pPr>
        <w:ind w:left="644" w:hanging="360"/>
      </w:pPr>
      <w:rPr>
        <w:rFonts w:ascii="Tahoma" w:hAnsi="Tahoma" w:cs="Tahoma"/>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8" w15:restartNumberingAfterBreak="0">
    <w:nsid w:val="2DD16C7C"/>
    <w:multiLevelType w:val="multilevel"/>
    <w:tmpl w:val="F0A2F520"/>
    <w:lvl w:ilvl="0">
      <w:start w:val="21"/>
      <w:numFmt w:val="decimal"/>
      <w:lvlText w:val="%1)"/>
      <w:lvlJc w:val="left"/>
      <w:pPr>
        <w:tabs>
          <w:tab w:val="num" w:pos="360"/>
        </w:tabs>
        <w:ind w:left="360" w:hanging="360"/>
      </w:pPr>
      <w:rPr>
        <w:rFonts w:hint="default"/>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15:restartNumberingAfterBreak="0">
    <w:nsid w:val="301D12D7"/>
    <w:multiLevelType w:val="multilevel"/>
    <w:tmpl w:val="DE1EB958"/>
    <w:lvl w:ilvl="0">
      <w:start w:val="25"/>
      <w:numFmt w:val="decimal"/>
      <w:lvlText w:val="%1)"/>
      <w:lvlJc w:val="left"/>
      <w:pPr>
        <w:tabs>
          <w:tab w:val="num" w:pos="360"/>
        </w:tabs>
        <w:ind w:left="360" w:hanging="360"/>
      </w:pPr>
      <w:rPr>
        <w:rFonts w:hint="default"/>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3200724B"/>
    <w:multiLevelType w:val="multilevel"/>
    <w:tmpl w:val="CC6A793A"/>
    <w:lvl w:ilvl="0">
      <w:start w:val="8"/>
      <w:numFmt w:val="decimal"/>
      <w:lvlText w:val="%1."/>
      <w:lvlJc w:val="left"/>
      <w:pPr>
        <w:ind w:left="720" w:hanging="360"/>
      </w:pPr>
      <w:rPr>
        <w:sz w:val="18"/>
        <w:szCs w:val="18"/>
      </w:rPr>
    </w:lvl>
    <w:lvl w:ilvl="1">
      <w:start w:val="1"/>
      <w:numFmt w:val="decimal"/>
      <w:lvlText w:val="%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11" w15:restartNumberingAfterBreak="0">
    <w:nsid w:val="342E73A0"/>
    <w:multiLevelType w:val="multilevel"/>
    <w:tmpl w:val="023AA924"/>
    <w:lvl w:ilvl="0">
      <w:start w:val="1"/>
      <w:numFmt w:val="decimal"/>
      <w:lvlText w:val="%1)"/>
      <w:lvlJc w:val="left"/>
      <w:pPr>
        <w:ind w:left="1080" w:hanging="360"/>
      </w:pPr>
      <w:rPr>
        <w:rFonts w:ascii="Tahoma" w:hAnsi="Tahoma" w:cs="Tahoma"/>
        <w:color w:val="auto"/>
        <w:sz w:val="18"/>
        <w:szCs w:val="18"/>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2" w15:restartNumberingAfterBreak="0">
    <w:nsid w:val="3AB270EC"/>
    <w:multiLevelType w:val="hybridMultilevel"/>
    <w:tmpl w:val="6A4AFD16"/>
    <w:lvl w:ilvl="0" w:tplc="04150011">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020C6E"/>
    <w:multiLevelType w:val="multilevel"/>
    <w:tmpl w:val="4D6E09C4"/>
    <w:lvl w:ilvl="0">
      <w:start w:val="27"/>
      <w:numFmt w:val="decimal"/>
      <w:lvlText w:val="%1)"/>
      <w:lvlJc w:val="left"/>
      <w:pPr>
        <w:tabs>
          <w:tab w:val="num" w:pos="360"/>
        </w:tabs>
        <w:ind w:left="360" w:hanging="360"/>
      </w:pPr>
      <w:rPr>
        <w:rFonts w:hint="default"/>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3F67123C"/>
    <w:multiLevelType w:val="multilevel"/>
    <w:tmpl w:val="690A2770"/>
    <w:styleLink w:val="WWNum121"/>
    <w:lvl w:ilvl="0">
      <w:start w:val="1"/>
      <w:numFmt w:val="decimal"/>
      <w:lvlText w:val="%1)"/>
      <w:lvlJc w:val="left"/>
      <w:pPr>
        <w:ind w:left="643" w:hanging="360"/>
      </w:pPr>
      <w:rPr>
        <w:rFonts w:eastAsia="Times New Roman" w:cs="Tahoma"/>
        <w:sz w:val="18"/>
      </w:rPr>
    </w:lvl>
    <w:lvl w:ilvl="1">
      <w:start w:val="1"/>
      <w:numFmt w:val="lowerLetter"/>
      <w:lvlText w:val="%2."/>
      <w:lvlJc w:val="left"/>
      <w:pPr>
        <w:ind w:left="1363" w:hanging="360"/>
      </w:pPr>
    </w:lvl>
    <w:lvl w:ilvl="2">
      <w:start w:val="1"/>
      <w:numFmt w:val="lowerRoman"/>
      <w:lvlText w:val="%1.%2.%3."/>
      <w:lvlJc w:val="right"/>
      <w:pPr>
        <w:ind w:left="2083" w:hanging="180"/>
      </w:pPr>
    </w:lvl>
    <w:lvl w:ilvl="3">
      <w:start w:val="1"/>
      <w:numFmt w:val="decimal"/>
      <w:lvlText w:val="%1.%2.%3.%4."/>
      <w:lvlJc w:val="left"/>
      <w:pPr>
        <w:ind w:left="2803" w:hanging="360"/>
      </w:pPr>
    </w:lvl>
    <w:lvl w:ilvl="4">
      <w:start w:val="1"/>
      <w:numFmt w:val="lowerLetter"/>
      <w:lvlText w:val="%1.%2.%3.%4.%5."/>
      <w:lvlJc w:val="left"/>
      <w:pPr>
        <w:ind w:left="3523" w:hanging="360"/>
      </w:pPr>
    </w:lvl>
    <w:lvl w:ilvl="5">
      <w:start w:val="1"/>
      <w:numFmt w:val="lowerRoman"/>
      <w:lvlText w:val="%1.%2.%3.%4.%5.%6."/>
      <w:lvlJc w:val="right"/>
      <w:pPr>
        <w:ind w:left="4243" w:hanging="180"/>
      </w:pPr>
    </w:lvl>
    <w:lvl w:ilvl="6">
      <w:start w:val="1"/>
      <w:numFmt w:val="decimal"/>
      <w:lvlText w:val="%1.%2.%3.%4.%5.%6.%7."/>
      <w:lvlJc w:val="left"/>
      <w:pPr>
        <w:ind w:left="4963" w:hanging="360"/>
      </w:pPr>
    </w:lvl>
    <w:lvl w:ilvl="7">
      <w:start w:val="1"/>
      <w:numFmt w:val="lowerLetter"/>
      <w:lvlText w:val="%1.%2.%3.%4.%5.%6.%7.%8."/>
      <w:lvlJc w:val="left"/>
      <w:pPr>
        <w:ind w:left="5683" w:hanging="360"/>
      </w:pPr>
    </w:lvl>
    <w:lvl w:ilvl="8">
      <w:start w:val="1"/>
      <w:numFmt w:val="lowerRoman"/>
      <w:lvlText w:val="%1.%2.%3.%4.%5.%6.%7.%8.%9."/>
      <w:lvlJc w:val="right"/>
      <w:pPr>
        <w:ind w:left="6403" w:hanging="180"/>
      </w:pPr>
    </w:lvl>
  </w:abstractNum>
  <w:abstractNum w:abstractNumId="15" w15:restartNumberingAfterBreak="0">
    <w:nsid w:val="442A3E99"/>
    <w:multiLevelType w:val="multilevel"/>
    <w:tmpl w:val="4920DD62"/>
    <w:lvl w:ilvl="0">
      <w:start w:val="1"/>
      <w:numFmt w:val="decimal"/>
      <w:lvlText w:val="%1."/>
      <w:lvlJc w:val="left"/>
      <w:pPr>
        <w:ind w:left="720" w:hanging="360"/>
      </w:pPr>
      <w:rPr>
        <w:rFonts w:ascii="Tahoma" w:hAnsi="Tahoma" w:cs="Tahoma"/>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4F35328"/>
    <w:multiLevelType w:val="multilevel"/>
    <w:tmpl w:val="F684D440"/>
    <w:lvl w:ilvl="0">
      <w:start w:val="1"/>
      <w:numFmt w:val="decimal"/>
      <w:lvlText w:val="%1."/>
      <w:lvlJc w:val="left"/>
      <w:pPr>
        <w:ind w:left="2100" w:hanging="360"/>
      </w:pPr>
      <w:rPr>
        <w:rFonts w:ascii="Tahoma" w:hAnsi="Tahoma"/>
        <w:sz w:val="18"/>
      </w:rPr>
    </w:lvl>
    <w:lvl w:ilvl="1">
      <w:start w:val="1"/>
      <w:numFmt w:val="lowerLetter"/>
      <w:lvlText w:val="%2."/>
      <w:lvlJc w:val="left"/>
      <w:pPr>
        <w:ind w:left="2820" w:hanging="360"/>
      </w:pPr>
    </w:lvl>
    <w:lvl w:ilvl="2">
      <w:start w:val="1"/>
      <w:numFmt w:val="lowerRoman"/>
      <w:lvlText w:val="%3."/>
      <w:lvlJc w:val="right"/>
      <w:pPr>
        <w:ind w:left="3540" w:hanging="180"/>
      </w:pPr>
    </w:lvl>
    <w:lvl w:ilvl="3">
      <w:start w:val="1"/>
      <w:numFmt w:val="decimal"/>
      <w:lvlText w:val="%4."/>
      <w:lvlJc w:val="left"/>
      <w:pPr>
        <w:ind w:left="4260" w:hanging="360"/>
      </w:pPr>
    </w:lvl>
    <w:lvl w:ilvl="4">
      <w:start w:val="1"/>
      <w:numFmt w:val="lowerLetter"/>
      <w:lvlText w:val="%5."/>
      <w:lvlJc w:val="left"/>
      <w:pPr>
        <w:ind w:left="4980" w:hanging="360"/>
      </w:pPr>
    </w:lvl>
    <w:lvl w:ilvl="5">
      <w:start w:val="1"/>
      <w:numFmt w:val="lowerRoman"/>
      <w:lvlText w:val="%6."/>
      <w:lvlJc w:val="right"/>
      <w:pPr>
        <w:ind w:left="5700" w:hanging="180"/>
      </w:pPr>
    </w:lvl>
    <w:lvl w:ilvl="6">
      <w:start w:val="1"/>
      <w:numFmt w:val="decimal"/>
      <w:lvlText w:val="%7."/>
      <w:lvlJc w:val="left"/>
      <w:pPr>
        <w:ind w:left="6420" w:hanging="360"/>
      </w:pPr>
    </w:lvl>
    <w:lvl w:ilvl="7">
      <w:start w:val="1"/>
      <w:numFmt w:val="lowerLetter"/>
      <w:lvlText w:val="%8."/>
      <w:lvlJc w:val="left"/>
      <w:pPr>
        <w:ind w:left="7140" w:hanging="360"/>
      </w:pPr>
    </w:lvl>
    <w:lvl w:ilvl="8">
      <w:start w:val="1"/>
      <w:numFmt w:val="lowerRoman"/>
      <w:lvlText w:val="%9."/>
      <w:lvlJc w:val="right"/>
      <w:pPr>
        <w:ind w:left="7860" w:hanging="180"/>
      </w:pPr>
    </w:lvl>
  </w:abstractNum>
  <w:abstractNum w:abstractNumId="17" w15:restartNumberingAfterBreak="0">
    <w:nsid w:val="47DA308F"/>
    <w:multiLevelType w:val="multilevel"/>
    <w:tmpl w:val="8544062E"/>
    <w:lvl w:ilvl="0">
      <w:start w:val="15"/>
      <w:numFmt w:val="decimal"/>
      <w:lvlText w:val="%1)"/>
      <w:lvlJc w:val="left"/>
      <w:pPr>
        <w:tabs>
          <w:tab w:val="num" w:pos="360"/>
        </w:tabs>
        <w:ind w:left="360" w:hanging="360"/>
      </w:pPr>
      <w:rPr>
        <w:rFonts w:hint="default"/>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15:restartNumberingAfterBreak="0">
    <w:nsid w:val="4BFD62C8"/>
    <w:multiLevelType w:val="multilevel"/>
    <w:tmpl w:val="C9042E4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980" w:hanging="360"/>
      </w:pPr>
      <w:rPr>
        <w:rFonts w:ascii="Tahoma" w:eastAsia="Times New Roman" w:hAnsi="Tahoma" w:cs="Tahoma"/>
      </w:rPr>
    </w:lvl>
    <w:lvl w:ilvl="3">
      <w:start w:val="1"/>
      <w:numFmt w:val="decimal"/>
      <w:lvlText w:val="%4)"/>
      <w:lvlJc w:val="left"/>
      <w:pPr>
        <w:ind w:left="2520" w:hanging="360"/>
      </w:pPr>
      <w:rPr>
        <w:rFonts w:ascii="Tahoma" w:eastAsia="Times New Roman" w:hAnsi="Tahoma" w:cs="Tahoma"/>
        <w:sz w:val="18"/>
        <w:szCs w:val="18"/>
      </w:rPr>
    </w:lvl>
    <w:lvl w:ilvl="4">
      <w:start w:val="1"/>
      <w:numFmt w:val="decimal"/>
      <w:lvlText w:val="%5"/>
      <w:lvlJc w:val="left"/>
      <w:pPr>
        <w:ind w:left="3240" w:hanging="360"/>
      </w:pPr>
      <w:rPr>
        <w:rFonts w:ascii="Symbol" w:eastAsia="Times New Roman" w:hAnsi="Symbol" w:cs="Times New Roman"/>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1807126"/>
    <w:multiLevelType w:val="multilevel"/>
    <w:tmpl w:val="CE6A3572"/>
    <w:lvl w:ilvl="0">
      <w:start w:val="18"/>
      <w:numFmt w:val="decimal"/>
      <w:lvlText w:val="%1)"/>
      <w:lvlJc w:val="left"/>
      <w:pPr>
        <w:tabs>
          <w:tab w:val="num" w:pos="360"/>
        </w:tabs>
        <w:ind w:left="360" w:hanging="360"/>
      </w:pPr>
      <w:rPr>
        <w:rFonts w:hint="default"/>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522D3C8F"/>
    <w:multiLevelType w:val="multilevel"/>
    <w:tmpl w:val="C88E7270"/>
    <w:lvl w:ilvl="0">
      <w:start w:val="29"/>
      <w:numFmt w:val="decimal"/>
      <w:lvlText w:val="%1."/>
      <w:lvlJc w:val="left"/>
      <w:pPr>
        <w:ind w:left="720" w:hanging="360"/>
      </w:pPr>
      <w:rPr>
        <w:rFonts w:hint="default"/>
      </w:rPr>
    </w:lvl>
    <w:lvl w:ilvl="1">
      <w:start w:val="1"/>
      <w:numFmt w:val="decimal"/>
      <w:lvlText w:val="%2)"/>
      <w:lvlJc w:val="left"/>
      <w:pPr>
        <w:ind w:left="786" w:hanging="360"/>
      </w:pPr>
      <w:rPr>
        <w:rFonts w:hint="default"/>
      </w:rPr>
    </w:lvl>
    <w:lvl w:ilvl="2">
      <w:start w:val="1"/>
      <w:numFmt w:val="decimal"/>
      <w:lvlText w:val="%1.%2.%3."/>
      <w:lvlJc w:val="left"/>
      <w:pPr>
        <w:ind w:left="1212" w:hanging="720"/>
      </w:pPr>
      <w:rPr>
        <w:rFonts w:hint="default"/>
      </w:rPr>
    </w:lvl>
    <w:lvl w:ilvl="3">
      <w:start w:val="1"/>
      <w:numFmt w:val="decimal"/>
      <w:lvlText w:val="%1.%2.%3.%4."/>
      <w:lvlJc w:val="left"/>
      <w:pPr>
        <w:ind w:left="127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770" w:hanging="108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262" w:hanging="1440"/>
      </w:pPr>
      <w:rPr>
        <w:rFonts w:hint="default"/>
      </w:rPr>
    </w:lvl>
    <w:lvl w:ilvl="8">
      <w:start w:val="1"/>
      <w:numFmt w:val="decimal"/>
      <w:lvlText w:val="%1.%2.%3.%4.%5.%6.%7.%8.%9."/>
      <w:lvlJc w:val="left"/>
      <w:pPr>
        <w:ind w:left="2688" w:hanging="1800"/>
      </w:pPr>
      <w:rPr>
        <w:rFonts w:hint="default"/>
      </w:rPr>
    </w:lvl>
  </w:abstractNum>
  <w:abstractNum w:abstractNumId="21" w15:restartNumberingAfterBreak="0">
    <w:nsid w:val="52CC2F79"/>
    <w:multiLevelType w:val="multilevel"/>
    <w:tmpl w:val="DFAEB540"/>
    <w:lvl w:ilvl="0">
      <w:start w:val="1"/>
      <w:numFmt w:val="decimal"/>
      <w:lvlText w:val="%1)"/>
      <w:lvlJc w:val="left"/>
      <w:pPr>
        <w:ind w:left="1113" w:hanging="360"/>
      </w:pPr>
      <w:rPr>
        <w:rFonts w:ascii="Tahoma" w:hAnsi="Tahoma" w:cs="Tahoma"/>
        <w:color w:val="auto"/>
        <w:sz w:val="18"/>
        <w:szCs w:val="18"/>
      </w:rPr>
    </w:lvl>
    <w:lvl w:ilvl="1">
      <w:start w:val="1"/>
      <w:numFmt w:val="lowerLetter"/>
      <w:lvlText w:val="%2."/>
      <w:lvlJc w:val="left"/>
      <w:pPr>
        <w:ind w:left="1833" w:hanging="360"/>
      </w:pPr>
    </w:lvl>
    <w:lvl w:ilvl="2">
      <w:start w:val="1"/>
      <w:numFmt w:val="lowerRoman"/>
      <w:lvlText w:val="%3."/>
      <w:lvlJc w:val="right"/>
      <w:pPr>
        <w:ind w:left="2553" w:hanging="180"/>
      </w:pPr>
    </w:lvl>
    <w:lvl w:ilvl="3">
      <w:start w:val="1"/>
      <w:numFmt w:val="decimal"/>
      <w:lvlText w:val="%4."/>
      <w:lvlJc w:val="left"/>
      <w:pPr>
        <w:ind w:left="3273" w:hanging="360"/>
      </w:pPr>
    </w:lvl>
    <w:lvl w:ilvl="4">
      <w:start w:val="1"/>
      <w:numFmt w:val="lowerLetter"/>
      <w:lvlText w:val="%5."/>
      <w:lvlJc w:val="left"/>
      <w:pPr>
        <w:ind w:left="3993" w:hanging="360"/>
      </w:pPr>
    </w:lvl>
    <w:lvl w:ilvl="5">
      <w:start w:val="1"/>
      <w:numFmt w:val="lowerRoman"/>
      <w:lvlText w:val="%6."/>
      <w:lvlJc w:val="right"/>
      <w:pPr>
        <w:ind w:left="4713" w:hanging="180"/>
      </w:pPr>
    </w:lvl>
    <w:lvl w:ilvl="6">
      <w:start w:val="1"/>
      <w:numFmt w:val="decimal"/>
      <w:lvlText w:val="%7."/>
      <w:lvlJc w:val="left"/>
      <w:pPr>
        <w:ind w:left="5433" w:hanging="360"/>
      </w:pPr>
    </w:lvl>
    <w:lvl w:ilvl="7">
      <w:start w:val="1"/>
      <w:numFmt w:val="lowerLetter"/>
      <w:lvlText w:val="%8."/>
      <w:lvlJc w:val="left"/>
      <w:pPr>
        <w:ind w:left="6153" w:hanging="360"/>
      </w:pPr>
    </w:lvl>
    <w:lvl w:ilvl="8">
      <w:start w:val="1"/>
      <w:numFmt w:val="lowerRoman"/>
      <w:lvlText w:val="%9."/>
      <w:lvlJc w:val="right"/>
      <w:pPr>
        <w:ind w:left="6873" w:hanging="180"/>
      </w:pPr>
    </w:lvl>
  </w:abstractNum>
  <w:abstractNum w:abstractNumId="22" w15:restartNumberingAfterBreak="0">
    <w:nsid w:val="55D63C84"/>
    <w:multiLevelType w:val="multilevel"/>
    <w:tmpl w:val="BE8A453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7331828"/>
    <w:multiLevelType w:val="multilevel"/>
    <w:tmpl w:val="E1225872"/>
    <w:lvl w:ilvl="0">
      <w:start w:val="1"/>
      <w:numFmt w:val="decimal"/>
      <w:lvlText w:val="%1."/>
      <w:lvlJc w:val="left"/>
      <w:pPr>
        <w:ind w:left="720" w:hanging="360"/>
      </w:pPr>
    </w:lvl>
    <w:lvl w:ilvl="1">
      <w:start w:val="1"/>
      <w:numFmt w:val="decimal"/>
      <w:lvlText w:val="%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24" w15:restartNumberingAfterBreak="0">
    <w:nsid w:val="573F4C5D"/>
    <w:multiLevelType w:val="multilevel"/>
    <w:tmpl w:val="AF46C59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753643F"/>
    <w:multiLevelType w:val="multilevel"/>
    <w:tmpl w:val="024421A0"/>
    <w:lvl w:ilvl="0">
      <w:start w:val="1"/>
      <w:numFmt w:val="decimal"/>
      <w:lvlText w:val="%1."/>
      <w:lvlJc w:val="left"/>
      <w:pPr>
        <w:ind w:left="720" w:hanging="360"/>
      </w:pPr>
    </w:lvl>
    <w:lvl w:ilvl="1">
      <w:start w:val="1"/>
      <w:numFmt w:val="decimal"/>
      <w:lvlText w:val="%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26" w15:restartNumberingAfterBreak="0">
    <w:nsid w:val="596F4295"/>
    <w:multiLevelType w:val="hybridMultilevel"/>
    <w:tmpl w:val="15F247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692974"/>
    <w:multiLevelType w:val="multilevel"/>
    <w:tmpl w:val="083C29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8815B89"/>
    <w:multiLevelType w:val="multilevel"/>
    <w:tmpl w:val="CCC67C56"/>
    <w:lvl w:ilvl="0">
      <w:start w:val="1"/>
      <w:numFmt w:val="decimal"/>
      <w:lvlText w:val="%1."/>
      <w:lvlJc w:val="left"/>
      <w:pPr>
        <w:ind w:left="720" w:hanging="360"/>
      </w:pPr>
      <w:rPr>
        <w:rFonts w:ascii="Tahoma" w:hAnsi="Tahoma" w:cs="Tahoma"/>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9984144"/>
    <w:multiLevelType w:val="multilevel"/>
    <w:tmpl w:val="23E8D77A"/>
    <w:lvl w:ilvl="0">
      <w:start w:val="1"/>
      <w:numFmt w:val="lowerLetter"/>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0" w15:restartNumberingAfterBreak="0">
    <w:nsid w:val="6CC459A9"/>
    <w:multiLevelType w:val="multilevel"/>
    <w:tmpl w:val="FC7EF41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980" w:hanging="360"/>
      </w:pPr>
      <w:rPr>
        <w:rFonts w:ascii="Tahoma" w:eastAsia="Times New Roman" w:hAnsi="Tahoma" w:cs="Tahoma"/>
      </w:rPr>
    </w:lvl>
    <w:lvl w:ilvl="3">
      <w:start w:val="1"/>
      <w:numFmt w:val="decimal"/>
      <w:lvlText w:val="%4)"/>
      <w:lvlJc w:val="left"/>
      <w:pPr>
        <w:ind w:left="2520" w:hanging="360"/>
      </w:pPr>
      <w:rPr>
        <w:rFonts w:ascii="Tahoma" w:eastAsia="Times New Roman" w:hAnsi="Tahoma" w:cs="Tahoma"/>
        <w:sz w:val="18"/>
        <w:szCs w:val="18"/>
      </w:rPr>
    </w:lvl>
    <w:lvl w:ilvl="4">
      <w:start w:val="1"/>
      <w:numFmt w:val="decimal"/>
      <w:lvlText w:val="%5"/>
      <w:lvlJc w:val="left"/>
      <w:pPr>
        <w:ind w:left="3240" w:hanging="360"/>
      </w:pPr>
      <w:rPr>
        <w:rFonts w:ascii="Symbol" w:eastAsia="Times New Roman" w:hAnsi="Symbol" w:cs="Times New Roman"/>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E102AD7"/>
    <w:multiLevelType w:val="multilevel"/>
    <w:tmpl w:val="78BC4E64"/>
    <w:lvl w:ilvl="0">
      <w:start w:val="1"/>
      <w:numFmt w:val="decimal"/>
      <w:lvlText w:val="%1."/>
      <w:lvlJc w:val="left"/>
      <w:pPr>
        <w:ind w:left="360" w:hanging="360"/>
      </w:pPr>
      <w:rPr>
        <w:rFonts w:ascii="Tahoma" w:hAnsi="Tahoma"/>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5190EB4"/>
    <w:multiLevelType w:val="multilevel"/>
    <w:tmpl w:val="79867E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rPr>
        <w:rFonts w:ascii="Tahoma" w:eastAsia="Times New Roman" w:hAnsi="Tahoma" w:cs="Tahoma"/>
      </w:rPr>
    </w:lvl>
    <w:lvl w:ilvl="3">
      <w:start w:val="1"/>
      <w:numFmt w:val="decimal"/>
      <w:lvlText w:val="%4)"/>
      <w:lvlJc w:val="left"/>
      <w:pPr>
        <w:ind w:left="2880" w:hanging="360"/>
      </w:pPr>
      <w:rPr>
        <w:rFonts w:ascii="Tahoma" w:eastAsia="Times New Roman" w:hAnsi="Tahoma" w:cs="Tahoma"/>
      </w:rPr>
    </w:lvl>
    <w:lvl w:ilvl="4">
      <w:start w:val="1"/>
      <w:numFmt w:val="decimal"/>
      <w:lvlText w:val="%5"/>
      <w:lvlJc w:val="left"/>
      <w:pPr>
        <w:ind w:left="3600" w:hanging="360"/>
      </w:pPr>
      <w:rPr>
        <w:rFonts w:ascii="Symbol" w:eastAsia="Times New Roman" w:hAnsi="Symbol" w:cs="Times New Roman"/>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6A57CD0"/>
    <w:multiLevelType w:val="multilevel"/>
    <w:tmpl w:val="337EDC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9395EA7"/>
    <w:multiLevelType w:val="multilevel"/>
    <w:tmpl w:val="D8F61284"/>
    <w:lvl w:ilvl="0">
      <w:start w:val="23"/>
      <w:numFmt w:val="decimal"/>
      <w:lvlText w:val="%1)"/>
      <w:lvlJc w:val="left"/>
      <w:pPr>
        <w:tabs>
          <w:tab w:val="num" w:pos="360"/>
        </w:tabs>
        <w:ind w:left="360" w:hanging="360"/>
      </w:pPr>
      <w:rPr>
        <w:rFonts w:hint="default"/>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15:restartNumberingAfterBreak="0">
    <w:nsid w:val="7C163594"/>
    <w:multiLevelType w:val="multilevel"/>
    <w:tmpl w:val="6912725C"/>
    <w:lvl w:ilvl="0">
      <w:start w:val="1"/>
      <w:numFmt w:val="lowerLetter"/>
      <w:lvlText w:val="%1)"/>
      <w:lvlJc w:val="left"/>
      <w:pPr>
        <w:tabs>
          <w:tab w:val="num" w:pos="806"/>
        </w:tabs>
        <w:ind w:left="806" w:hanging="380"/>
      </w:pPr>
      <w:rPr>
        <w:rFonts w:ascii="Tahoma" w:eastAsia="Times New Roman" w:hAnsi="Tahoma"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295603132">
    <w:abstractNumId w:val="6"/>
  </w:num>
  <w:num w:numId="2" w16cid:durableId="629556196">
    <w:abstractNumId w:val="35"/>
  </w:num>
  <w:num w:numId="3" w16cid:durableId="387849488">
    <w:abstractNumId w:val="22"/>
  </w:num>
  <w:num w:numId="4" w16cid:durableId="397244280">
    <w:abstractNumId w:val="27"/>
  </w:num>
  <w:num w:numId="5" w16cid:durableId="1704095063">
    <w:abstractNumId w:val="6"/>
    <w:lvlOverride w:ilvl="0">
      <w:startOverride w:val="1"/>
    </w:lvlOverride>
  </w:num>
  <w:num w:numId="6" w16cid:durableId="49426011">
    <w:abstractNumId w:val="35"/>
    <w:lvlOverride w:ilvl="0">
      <w:startOverride w:val="1"/>
    </w:lvlOverride>
  </w:num>
  <w:num w:numId="7" w16cid:durableId="918707452">
    <w:abstractNumId w:val="22"/>
  </w:num>
  <w:num w:numId="8" w16cid:durableId="1544442288">
    <w:abstractNumId w:val="26"/>
  </w:num>
  <w:num w:numId="9" w16cid:durableId="317030127">
    <w:abstractNumId w:val="1"/>
  </w:num>
  <w:num w:numId="10" w16cid:durableId="1569878640">
    <w:abstractNumId w:val="4"/>
  </w:num>
  <w:num w:numId="11" w16cid:durableId="9644347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17961119">
    <w:abstractNumId w:val="17"/>
  </w:num>
  <w:num w:numId="13" w16cid:durableId="845822283">
    <w:abstractNumId w:val="7"/>
  </w:num>
  <w:num w:numId="14" w16cid:durableId="892733158">
    <w:abstractNumId w:val="19"/>
  </w:num>
  <w:num w:numId="15" w16cid:durableId="36663116">
    <w:abstractNumId w:val="33"/>
    <w:lvlOverride w:ilvl="0">
      <w:startOverride w:val="1"/>
    </w:lvlOverride>
  </w:num>
  <w:num w:numId="16" w16cid:durableId="1653212175">
    <w:abstractNumId w:val="18"/>
  </w:num>
  <w:num w:numId="17" w16cid:durableId="241524827">
    <w:abstractNumId w:val="24"/>
  </w:num>
  <w:num w:numId="18" w16cid:durableId="601181146">
    <w:abstractNumId w:val="32"/>
  </w:num>
  <w:num w:numId="19" w16cid:durableId="395709421">
    <w:abstractNumId w:val="12"/>
  </w:num>
  <w:num w:numId="20" w16cid:durableId="1583565856">
    <w:abstractNumId w:val="31"/>
  </w:num>
  <w:num w:numId="21" w16cid:durableId="581917572">
    <w:abstractNumId w:val="14"/>
  </w:num>
  <w:num w:numId="22" w16cid:durableId="1647661420">
    <w:abstractNumId w:val="30"/>
  </w:num>
  <w:num w:numId="23" w16cid:durableId="657880943">
    <w:abstractNumId w:val="21"/>
  </w:num>
  <w:num w:numId="24" w16cid:durableId="61876100">
    <w:abstractNumId w:val="29"/>
  </w:num>
  <w:num w:numId="25" w16cid:durableId="1259093569">
    <w:abstractNumId w:val="0"/>
  </w:num>
  <w:num w:numId="26" w16cid:durableId="92022424">
    <w:abstractNumId w:val="5"/>
  </w:num>
  <w:num w:numId="27" w16cid:durableId="1600797160">
    <w:abstractNumId w:val="8"/>
  </w:num>
  <w:num w:numId="28" w16cid:durableId="89787376">
    <w:abstractNumId w:val="9"/>
  </w:num>
  <w:num w:numId="29" w16cid:durableId="724139516">
    <w:abstractNumId w:val="16"/>
  </w:num>
  <w:num w:numId="30" w16cid:durableId="1831360537">
    <w:abstractNumId w:val="34"/>
  </w:num>
  <w:num w:numId="31" w16cid:durableId="796140056">
    <w:abstractNumId w:val="11"/>
  </w:num>
  <w:num w:numId="32" w16cid:durableId="1252280913">
    <w:abstractNumId w:val="3"/>
  </w:num>
  <w:num w:numId="33" w16cid:durableId="1072192796">
    <w:abstractNumId w:val="23"/>
  </w:num>
  <w:num w:numId="34" w16cid:durableId="1078330362">
    <w:abstractNumId w:val="25"/>
  </w:num>
  <w:num w:numId="35" w16cid:durableId="1662587187">
    <w:abstractNumId w:val="20"/>
  </w:num>
  <w:num w:numId="36" w16cid:durableId="469445954">
    <w:abstractNumId w:val="2"/>
  </w:num>
  <w:num w:numId="37" w16cid:durableId="17777825">
    <w:abstractNumId w:val="10"/>
  </w:num>
  <w:num w:numId="38" w16cid:durableId="1389720765">
    <w:abstractNumId w:val="15"/>
  </w:num>
  <w:num w:numId="39" w16cid:durableId="1097140425">
    <w:abstractNumId w:val="13"/>
  </w:num>
  <w:num w:numId="40" w16cid:durableId="123189210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914"/>
    <w:rsid w:val="000E40C5"/>
    <w:rsid w:val="000F6FEA"/>
    <w:rsid w:val="00114BA6"/>
    <w:rsid w:val="001B3F0A"/>
    <w:rsid w:val="002B2E31"/>
    <w:rsid w:val="002B4914"/>
    <w:rsid w:val="002D1837"/>
    <w:rsid w:val="0034708E"/>
    <w:rsid w:val="00401ECA"/>
    <w:rsid w:val="0044544D"/>
    <w:rsid w:val="006756B9"/>
    <w:rsid w:val="00691D2F"/>
    <w:rsid w:val="00771D3D"/>
    <w:rsid w:val="0090373E"/>
    <w:rsid w:val="00951FED"/>
    <w:rsid w:val="00A53C7F"/>
    <w:rsid w:val="00B153C1"/>
    <w:rsid w:val="00B43656"/>
    <w:rsid w:val="00B53827"/>
    <w:rsid w:val="00B66D0D"/>
    <w:rsid w:val="00B83CBC"/>
    <w:rsid w:val="00BB7E9B"/>
    <w:rsid w:val="00C72BF4"/>
    <w:rsid w:val="00D40224"/>
    <w:rsid w:val="00EC1221"/>
    <w:rsid w:val="00F417A1"/>
    <w:rsid w:val="00F41BF8"/>
    <w:rsid w:val="00F530C0"/>
    <w:rsid w:val="00FA2130"/>
    <w:rsid w:val="00FB7E1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B1779"/>
  <w15:docId w15:val="{FFCE9AC2-48B3-4E2B-B3A4-86999A0A1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722F"/>
    <w:rPr>
      <w:rFonts w:ascii="Times New Roman" w:eastAsia="Times New Roman" w:hAnsi="Times New Roman" w:cs="Tahoma"/>
      <w:sz w:val="20"/>
      <w:szCs w:val="20"/>
      <w:lang w:eastAsia="ar-SA"/>
    </w:rPr>
  </w:style>
  <w:style w:type="paragraph" w:styleId="Nagwek3">
    <w:name w:val="heading 3"/>
    <w:basedOn w:val="Nagwek"/>
    <w:next w:val="Tekstpodstawowy"/>
    <w:qFormat/>
    <w:pPr>
      <w:spacing w:before="140"/>
      <w:outlineLvl w:val="2"/>
    </w:pPr>
    <w:rPr>
      <w:rFonts w:ascii="Liberation Serif" w:eastAsia="Segoe UI" w:hAnsi="Liberation Serif" w:cs="Tahom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basedOn w:val="Domylnaczcionkaakapitu"/>
    <w:qFormat/>
    <w:rsid w:val="0005722F"/>
    <w:rPr>
      <w:i/>
      <w:iCs/>
    </w:rPr>
  </w:style>
  <w:style w:type="character" w:customStyle="1" w:styleId="TekstdymkaZnak">
    <w:name w:val="Tekst dymka Znak"/>
    <w:basedOn w:val="Domylnaczcionkaakapitu"/>
    <w:link w:val="Tekstdymka"/>
    <w:uiPriority w:val="99"/>
    <w:semiHidden/>
    <w:qFormat/>
    <w:rsid w:val="00844638"/>
    <w:rPr>
      <w:rFonts w:ascii="Segoe UI" w:eastAsia="Times New Roman" w:hAnsi="Segoe UI" w:cs="Segoe UI"/>
      <w:sz w:val="18"/>
      <w:szCs w:val="18"/>
      <w:lang w:eastAsia="ar-SA"/>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Tekstpodstawowy21">
    <w:name w:val="Tekst podstawowy 21"/>
    <w:basedOn w:val="Normalny"/>
    <w:qFormat/>
    <w:rsid w:val="0005722F"/>
    <w:pPr>
      <w:jc w:val="both"/>
    </w:pPr>
    <w:rPr>
      <w:sz w:val="24"/>
    </w:rPr>
  </w:style>
  <w:style w:type="paragraph" w:customStyle="1" w:styleId="Styl1">
    <w:name w:val="Styl1"/>
    <w:basedOn w:val="Normalny"/>
    <w:qFormat/>
    <w:rsid w:val="0005722F"/>
    <w:pPr>
      <w:tabs>
        <w:tab w:val="left" w:pos="360"/>
      </w:tabs>
      <w:jc w:val="both"/>
    </w:pPr>
    <w:rPr>
      <w:rFonts w:ascii="Tahoma" w:hAnsi="Tahoma" w:cs="Times New Roman"/>
      <w:sz w:val="22"/>
      <w:szCs w:val="24"/>
    </w:rPr>
  </w:style>
  <w:style w:type="paragraph" w:customStyle="1" w:styleId="Styl2">
    <w:name w:val="Styl2"/>
    <w:basedOn w:val="Normalny"/>
    <w:qFormat/>
    <w:rsid w:val="0005722F"/>
    <w:pPr>
      <w:tabs>
        <w:tab w:val="left" w:pos="360"/>
      </w:tabs>
      <w:jc w:val="both"/>
    </w:pPr>
    <w:rPr>
      <w:rFonts w:ascii="Tahoma" w:hAnsi="Tahoma"/>
      <w:sz w:val="22"/>
      <w:szCs w:val="24"/>
    </w:rPr>
  </w:style>
  <w:style w:type="paragraph" w:styleId="Tekstdymka">
    <w:name w:val="Balloon Text"/>
    <w:basedOn w:val="Normalny"/>
    <w:link w:val="TekstdymkaZnak"/>
    <w:uiPriority w:val="99"/>
    <w:semiHidden/>
    <w:unhideWhenUsed/>
    <w:qFormat/>
    <w:rsid w:val="00844638"/>
    <w:rPr>
      <w:rFonts w:ascii="Segoe UI" w:hAnsi="Segoe UI" w:cs="Segoe UI"/>
      <w:sz w:val="18"/>
      <w:szCs w:val="18"/>
    </w:rPr>
  </w:style>
  <w:style w:type="paragraph" w:styleId="NormalnyWeb">
    <w:name w:val="Normal (Web)"/>
    <w:basedOn w:val="Normalny"/>
    <w:uiPriority w:val="99"/>
    <w:semiHidden/>
    <w:unhideWhenUsed/>
    <w:qFormat/>
    <w:rsid w:val="00673F08"/>
    <w:pPr>
      <w:suppressAutoHyphens w:val="0"/>
      <w:spacing w:beforeAutospacing="1" w:afterAutospacing="1"/>
    </w:pPr>
    <w:rPr>
      <w:rFonts w:cs="Times New Roman"/>
      <w:sz w:val="24"/>
      <w:szCs w:val="24"/>
      <w:lang w:eastAsia="pl-PL"/>
    </w:rPr>
  </w:style>
  <w:style w:type="paragraph" w:styleId="Akapitzlist">
    <w:name w:val="List Paragraph"/>
    <w:basedOn w:val="Normalny"/>
    <w:qFormat/>
    <w:rsid w:val="00AA288D"/>
    <w:pPr>
      <w:ind w:left="720"/>
      <w:contextualSpacing/>
    </w:pPr>
  </w:style>
  <w:style w:type="paragraph" w:customStyle="1" w:styleId="Standard">
    <w:name w:val="Standard"/>
    <w:rsid w:val="00B53827"/>
    <w:pPr>
      <w:widowControl w:val="0"/>
      <w:autoSpaceDE w:val="0"/>
      <w:ind w:left="357"/>
      <w:jc w:val="both"/>
    </w:pPr>
    <w:rPr>
      <w:rFonts w:ascii="Tahoma" w:eastAsia="Arial" w:hAnsi="Tahoma" w:cs="Tahoma"/>
      <w:szCs w:val="20"/>
      <w:lang w:eastAsia="ar-SA"/>
    </w:rPr>
  </w:style>
  <w:style w:type="numbering" w:customStyle="1" w:styleId="WWNum12">
    <w:name w:val="WWNum12"/>
    <w:rsid w:val="00B53827"/>
    <w:pPr>
      <w:numPr>
        <w:numId w:val="10"/>
      </w:numPr>
    </w:pPr>
  </w:style>
  <w:style w:type="numbering" w:customStyle="1" w:styleId="WWNum9">
    <w:name w:val="WWNum9"/>
    <w:basedOn w:val="Bezlisty"/>
    <w:rsid w:val="00F530C0"/>
    <w:pPr>
      <w:numPr>
        <w:numId w:val="13"/>
      </w:numPr>
    </w:pPr>
  </w:style>
  <w:style w:type="paragraph" w:customStyle="1" w:styleId="HeaderandFooter">
    <w:name w:val="Header and Footer"/>
    <w:basedOn w:val="Standard"/>
    <w:rsid w:val="00EC1221"/>
    <w:pPr>
      <w:widowControl/>
      <w:autoSpaceDE/>
      <w:autoSpaceDN w:val="0"/>
      <w:ind w:left="0"/>
      <w:jc w:val="left"/>
      <w:textAlignment w:val="baseline"/>
    </w:pPr>
    <w:rPr>
      <w:rFonts w:ascii="Times New Roman" w:eastAsia="Times New Roman" w:hAnsi="Times New Roman"/>
      <w:kern w:val="3"/>
      <w:sz w:val="20"/>
      <w:lang w:eastAsia="pl-PL"/>
    </w:rPr>
  </w:style>
  <w:style w:type="numbering" w:customStyle="1" w:styleId="WWNum121">
    <w:name w:val="WWNum121"/>
    <w:basedOn w:val="Bezlisty"/>
    <w:rsid w:val="00EC1221"/>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967331">
      <w:bodyDiv w:val="1"/>
      <w:marLeft w:val="0"/>
      <w:marRight w:val="0"/>
      <w:marTop w:val="0"/>
      <w:marBottom w:val="0"/>
      <w:divBdr>
        <w:top w:val="none" w:sz="0" w:space="0" w:color="auto"/>
        <w:left w:val="none" w:sz="0" w:space="0" w:color="auto"/>
        <w:bottom w:val="none" w:sz="0" w:space="0" w:color="auto"/>
        <w:right w:val="none" w:sz="0" w:space="0" w:color="auto"/>
      </w:divBdr>
    </w:div>
    <w:div w:id="1178427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4</Pages>
  <Words>2250</Words>
  <Characters>13504</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 Szeremeta</dc:creator>
  <dc:description/>
  <cp:lastModifiedBy>Kamila Kraft</cp:lastModifiedBy>
  <cp:revision>17</cp:revision>
  <cp:lastPrinted>2023-12-11T12:19:00Z</cp:lastPrinted>
  <dcterms:created xsi:type="dcterms:W3CDTF">2022-10-12T08:11:00Z</dcterms:created>
  <dcterms:modified xsi:type="dcterms:W3CDTF">2023-12-13T09:50:00Z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