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53A5CEAF" w14:textId="77777777" w:rsidR="003D2A25" w:rsidRDefault="00022E75" w:rsidP="003D2A25">
      <w:pPr>
        <w:tabs>
          <w:tab w:val="left" w:pos="-720"/>
        </w:tabs>
        <w:spacing w:line="360" w:lineRule="auto"/>
        <w:ind w:left="14" w:firstLine="0"/>
        <w:rPr>
          <w:rFonts w:ascii="Verdana" w:hAnsi="Verdana"/>
          <w:b/>
          <w:bCs/>
          <w:sz w:val="16"/>
          <w:szCs w:val="16"/>
        </w:rPr>
      </w:pPr>
      <w:r w:rsidRPr="00364D03">
        <w:rPr>
          <w:rFonts w:ascii="Verdana" w:hAnsi="Verdana"/>
          <w:sz w:val="16"/>
          <w:szCs w:val="16"/>
        </w:rPr>
        <w:t xml:space="preserve">Specyfikacją Techniczną – ST), są wymagania dotyczące wykonania i odbioru robót związanych z oczyszczeniem i skropieniem nawierzchni w ramach wykonania </w:t>
      </w:r>
      <w:r w:rsidR="003D2A25" w:rsidRPr="003D2A25">
        <w:rPr>
          <w:rFonts w:ascii="Verdana" w:hAnsi="Verdana"/>
          <w:b/>
          <w:bCs/>
          <w:sz w:val="16"/>
          <w:szCs w:val="16"/>
        </w:rPr>
        <w:t xml:space="preserve">modernizacji drogi powiatowej nr 2302C </w:t>
      </w:r>
      <w:proofErr w:type="spellStart"/>
      <w:r w:rsidR="003D2A25" w:rsidRPr="003D2A25">
        <w:rPr>
          <w:rFonts w:ascii="Verdana" w:hAnsi="Verdana"/>
          <w:b/>
          <w:bCs/>
          <w:sz w:val="16"/>
          <w:szCs w:val="16"/>
        </w:rPr>
        <w:t>Brzyskorzystew</w:t>
      </w:r>
      <w:proofErr w:type="spellEnd"/>
      <w:r w:rsidR="003D2A25" w:rsidRPr="003D2A25">
        <w:rPr>
          <w:rFonts w:ascii="Verdana" w:hAnsi="Verdana"/>
          <w:b/>
          <w:bCs/>
          <w:sz w:val="16"/>
          <w:szCs w:val="16"/>
        </w:rPr>
        <w:t xml:space="preserve">  - Słabomierz</w:t>
      </w:r>
      <w:r w:rsidR="003D2A25" w:rsidRPr="003D2A25">
        <w:rPr>
          <w:rFonts w:ascii="Verdana" w:hAnsi="Verdana"/>
          <w:b/>
          <w:bCs/>
          <w:sz w:val="16"/>
          <w:szCs w:val="16"/>
        </w:rPr>
        <w:t xml:space="preserve"> </w:t>
      </w:r>
    </w:p>
    <w:p w14:paraId="22D9F8A9" w14:textId="3051F80D" w:rsidR="00A80DBA" w:rsidRPr="00364D03" w:rsidRDefault="00022E75" w:rsidP="003D2A25">
      <w:pPr>
        <w:tabs>
          <w:tab w:val="left" w:pos="-720"/>
        </w:tabs>
        <w:spacing w:line="360" w:lineRule="auto"/>
        <w:ind w:left="14"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3316A28A"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skropienia nawierzchni emulsją asfaltową pod warstwę wyrównawczą</w:t>
      </w:r>
      <w:r w:rsidR="00D0049B">
        <w:rPr>
          <w:rFonts w:ascii="Verdana" w:hAnsi="Verdana"/>
          <w:sz w:val="16"/>
          <w:szCs w:val="16"/>
        </w:rPr>
        <w:t xml:space="preserve"> AC1</w:t>
      </w:r>
      <w:r w:rsidR="00A43224">
        <w:rPr>
          <w:rFonts w:ascii="Verdana" w:hAnsi="Verdana"/>
          <w:sz w:val="16"/>
          <w:szCs w:val="16"/>
        </w:rPr>
        <w:t>6</w:t>
      </w:r>
      <w:r w:rsidR="00D0049B">
        <w:rPr>
          <w:rFonts w:ascii="Verdana" w:hAnsi="Verdana"/>
          <w:sz w:val="16"/>
          <w:szCs w:val="16"/>
        </w:rPr>
        <w:t>W KR3-4,</w:t>
      </w:r>
      <w:r w:rsidRPr="00364D03">
        <w:rPr>
          <w:rFonts w:ascii="Verdana" w:hAnsi="Verdana"/>
          <w:sz w:val="16"/>
          <w:szCs w:val="16"/>
        </w:rPr>
        <w:t xml:space="preserve"> </w:t>
      </w:r>
      <w:r w:rsidRPr="004F4145">
        <w:rPr>
          <w:rFonts w:ascii="Verdana" w:hAnsi="Verdana"/>
          <w:sz w:val="16"/>
          <w:szCs w:val="16"/>
        </w:rPr>
        <w:t>warstwę ścieralną</w:t>
      </w:r>
      <w:r w:rsidR="00D0049B" w:rsidRPr="004F4145">
        <w:rPr>
          <w:rFonts w:ascii="Verdana" w:hAnsi="Verdana"/>
          <w:sz w:val="16"/>
          <w:szCs w:val="16"/>
        </w:rPr>
        <w:t xml:space="preserve"> AC11S KR3-4</w:t>
      </w:r>
      <w:r w:rsidR="00D0049B">
        <w:rPr>
          <w:rFonts w:ascii="Verdana" w:hAnsi="Verdana"/>
          <w:sz w:val="16"/>
          <w:szCs w:val="16"/>
        </w:rPr>
        <w:t xml:space="preserve">, </w:t>
      </w:r>
      <w:r w:rsidR="00D0049B" w:rsidRPr="004F4145">
        <w:rPr>
          <w:rFonts w:ascii="Verdana" w:hAnsi="Verdana"/>
          <w:strike/>
          <w:sz w:val="16"/>
          <w:szCs w:val="16"/>
        </w:rPr>
        <w:t>SMA16JENA</w:t>
      </w:r>
      <w:r w:rsidRPr="00364D03">
        <w:rPr>
          <w:rFonts w:ascii="Verdana" w:hAnsi="Verdana"/>
          <w:sz w:val="16"/>
          <w:szCs w:val="16"/>
        </w:rPr>
        <w:t xml:space="preserve">  </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w:t>
      </w:r>
      <w:proofErr w:type="spellStart"/>
      <w:r w:rsidRPr="00364D03">
        <w:rPr>
          <w:rFonts w:ascii="Verdana" w:hAnsi="Verdana"/>
          <w:sz w:val="16"/>
          <w:szCs w:val="16"/>
        </w:rPr>
        <w:t>szybkorozpadowa</w:t>
      </w:r>
      <w:proofErr w:type="spellEnd"/>
      <w:r w:rsidRPr="00364D03">
        <w:rPr>
          <w:rFonts w:ascii="Verdana" w:hAnsi="Verdana"/>
          <w:sz w:val="16"/>
          <w:szCs w:val="16"/>
        </w:rPr>
        <w:t xml:space="preserve">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w:t>
      </w:r>
      <w:proofErr w:type="spellStart"/>
      <w:r w:rsidRPr="00364D03">
        <w:rPr>
          <w:rFonts w:ascii="Verdana" w:hAnsi="Verdana"/>
          <w:sz w:val="16"/>
          <w:szCs w:val="16"/>
        </w:rPr>
        <w:t>DKiA</w:t>
      </w:r>
      <w:proofErr w:type="spellEnd"/>
      <w:r w:rsidRPr="00364D03">
        <w:rPr>
          <w:rFonts w:ascii="Verdana" w:hAnsi="Verdana"/>
          <w:sz w:val="16"/>
          <w:szCs w:val="16"/>
        </w:rPr>
        <w:t xml:space="preserve">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proofErr w:type="spellStart"/>
            <w:r w:rsidRPr="00364D03">
              <w:rPr>
                <w:rFonts w:ascii="Verdana" w:hAnsi="Verdana"/>
                <w:sz w:val="16"/>
                <w:szCs w:val="16"/>
              </w:rPr>
              <w:t>TBRb</w:t>
            </w:r>
            <w:proofErr w:type="spellEnd"/>
            <w:r w:rsidRPr="00364D03">
              <w:rPr>
                <w:rFonts w:ascii="Verdana" w:hAnsi="Verdana"/>
                <w:sz w:val="16"/>
                <w:szCs w:val="16"/>
              </w:rPr>
              <w:t xml:space="preserve">)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lastRenderedPageBreak/>
              <w:t>Adhezja</w:t>
            </w:r>
            <w:r w:rsidRPr="00364D03">
              <w:rPr>
                <w:rFonts w:ascii="Verdana" w:hAnsi="Verdana"/>
                <w:sz w:val="16"/>
                <w:szCs w:val="16"/>
                <w:vertAlign w:val="superscript"/>
              </w:rPr>
              <w:t>c</w:t>
            </w:r>
            <w:proofErr w:type="spellEnd"/>
            <w:r w:rsidRPr="00364D03">
              <w:rPr>
                <w:rFonts w:ascii="Verdana" w:hAnsi="Verdana"/>
                <w:sz w:val="16"/>
                <w:szCs w:val="16"/>
                <w:vertAlign w:val="superscript"/>
              </w:rPr>
              <w:t xml:space="preserve">)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t>pH</w:t>
            </w:r>
            <w:proofErr w:type="spellEnd"/>
            <w:r w:rsidRPr="00364D03">
              <w:rPr>
                <w:rFonts w:ascii="Verdana" w:hAnsi="Verdana"/>
                <w:sz w:val="16"/>
                <w:szCs w:val="16"/>
              </w:rPr>
              <w:t xml:space="preserve">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w:t>
      </w:r>
      <w:proofErr w:type="spellStart"/>
      <w:r w:rsidRPr="00364D03">
        <w:rPr>
          <w:rFonts w:ascii="Verdana" w:hAnsi="Verdana"/>
          <w:b/>
          <w:sz w:val="16"/>
          <w:szCs w:val="16"/>
        </w:rPr>
        <w:t>międzywarstwowych</w:t>
      </w:r>
      <w:proofErr w:type="spellEnd"/>
      <w:r w:rsidRPr="00364D03">
        <w:rPr>
          <w:rFonts w:ascii="Verdana" w:hAnsi="Verdana"/>
          <w:b/>
          <w:sz w:val="16"/>
          <w:szCs w:val="16"/>
        </w:rPr>
        <w:t xml:space="preserve">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B5125" w14:textId="77777777" w:rsidR="00C510C1" w:rsidRDefault="00C510C1">
      <w:pPr>
        <w:spacing w:after="0" w:line="240" w:lineRule="auto"/>
      </w:pPr>
      <w:r>
        <w:separator/>
      </w:r>
    </w:p>
  </w:endnote>
  <w:endnote w:type="continuationSeparator" w:id="0">
    <w:p w14:paraId="310ADA64" w14:textId="77777777" w:rsidR="00C510C1" w:rsidRDefault="00C51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6C402" w14:textId="77777777" w:rsidR="00C510C1" w:rsidRDefault="00C510C1">
      <w:pPr>
        <w:spacing w:after="0" w:line="240" w:lineRule="auto"/>
      </w:pPr>
      <w:r>
        <w:separator/>
      </w:r>
    </w:p>
  </w:footnote>
  <w:footnote w:type="continuationSeparator" w:id="0">
    <w:p w14:paraId="07A62AC5" w14:textId="77777777" w:rsidR="00C510C1" w:rsidRDefault="00C510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64D03"/>
    <w:rsid w:val="003D2A25"/>
    <w:rsid w:val="00412A9D"/>
    <w:rsid w:val="0045362E"/>
    <w:rsid w:val="00472759"/>
    <w:rsid w:val="0049112D"/>
    <w:rsid w:val="004F4145"/>
    <w:rsid w:val="00510E16"/>
    <w:rsid w:val="0051415D"/>
    <w:rsid w:val="00541C27"/>
    <w:rsid w:val="00573205"/>
    <w:rsid w:val="0059579E"/>
    <w:rsid w:val="00661429"/>
    <w:rsid w:val="00664524"/>
    <w:rsid w:val="0067294D"/>
    <w:rsid w:val="006821CF"/>
    <w:rsid w:val="006A42C7"/>
    <w:rsid w:val="006C0312"/>
    <w:rsid w:val="00771323"/>
    <w:rsid w:val="007C3E2C"/>
    <w:rsid w:val="0089283C"/>
    <w:rsid w:val="009C2FAE"/>
    <w:rsid w:val="00A06B5E"/>
    <w:rsid w:val="00A43224"/>
    <w:rsid w:val="00A5602C"/>
    <w:rsid w:val="00A80DBA"/>
    <w:rsid w:val="00AA2E48"/>
    <w:rsid w:val="00C05360"/>
    <w:rsid w:val="00C510C1"/>
    <w:rsid w:val="00C949A5"/>
    <w:rsid w:val="00D00417"/>
    <w:rsid w:val="00D0049B"/>
    <w:rsid w:val="00D015CA"/>
    <w:rsid w:val="00D87CE8"/>
    <w:rsid w:val="00DA4678"/>
    <w:rsid w:val="00DD1093"/>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1453</Words>
  <Characters>8718</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16</cp:revision>
  <dcterms:created xsi:type="dcterms:W3CDTF">2021-03-10T08:15:00Z</dcterms:created>
  <dcterms:modified xsi:type="dcterms:W3CDTF">2024-12-20T10:03:00Z</dcterms:modified>
</cp:coreProperties>
</file>