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5AA" w:rsidRDefault="0052062C">
      <w:pPr>
        <w:rPr>
          <w:rFonts w:asciiTheme="minorHAnsi" w:hAnsiTheme="minorHAnsi" w:cs="Arial"/>
        </w:rPr>
      </w:pPr>
      <w:r>
        <w:t>Załącznik nr 5</w:t>
      </w:r>
      <w:r>
        <w:tab/>
        <w:t xml:space="preserve">do SWZ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0E8E">
        <w:t>DZP.271.63</w:t>
      </w:r>
      <w:r w:rsidRPr="0052062C">
        <w:t>.2024</w:t>
      </w:r>
      <w:r>
        <w:br/>
      </w:r>
    </w:p>
    <w:tbl>
      <w:tblPr>
        <w:tblpPr w:leftFromText="141" w:rightFromText="141" w:vertAnchor="text" w:horzAnchor="margin" w:tblpY="11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5102"/>
        <w:gridCol w:w="1276"/>
        <w:gridCol w:w="1488"/>
        <w:gridCol w:w="1347"/>
      </w:tblGrid>
      <w:tr w:rsidR="002C25AA">
        <w:trPr>
          <w:trHeight w:val="330"/>
        </w:trPr>
        <w:tc>
          <w:tcPr>
            <w:tcW w:w="9709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ZESTAWIENIE GRANICZNYCH PARAMETRÓW TECHNICZNO- UŻYTKOWYCH ZESTAWÓW KOMPUTEROWYCH</w:t>
            </w:r>
          </w:p>
          <w:p w:rsidR="002C25AA" w:rsidRDefault="002C25AA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2C25A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ind w:right="-7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2C25AA">
            <w:pPr>
              <w:jc w:val="center"/>
              <w:rPr>
                <w:b/>
              </w:rPr>
            </w:pPr>
          </w:p>
          <w:p w:rsidR="002C25AA" w:rsidRDefault="005206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PARAMETRU / WARUNKU</w:t>
            </w:r>
          </w:p>
          <w:p w:rsidR="002C25AA" w:rsidRDefault="002C25AA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Parametr wymagany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Parametr oferowany/</w:t>
            </w:r>
            <w:r>
              <w:rPr>
                <w:b/>
                <w:sz w:val="22"/>
                <w:szCs w:val="22"/>
              </w:rPr>
              <w:br/>
              <w:t>podać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Parametr</w:t>
            </w:r>
          </w:p>
          <w:p w:rsidR="002C25AA" w:rsidRDefault="0052062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oceniany</w:t>
            </w:r>
          </w:p>
        </w:tc>
      </w:tr>
      <w:tr w:rsidR="002C25AA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I.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Dane ogólne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Nazwa  i typ Sprzętu (zestaw komputerowy)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Producent/kraj pochodzenia </w:t>
            </w:r>
            <w:r>
              <w:rPr>
                <w:rFonts w:ascii="Calibri" w:eastAsia="Calibri" w:hAnsi="Calibri" w:cs="Calibri"/>
              </w:rPr>
              <w:br/>
              <w:t>(zestaw komputerowy)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Rok produkcji  - (zestaw komputerowy)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Adres witryny internetowej umożliwiającej weryfikacje zestawu komputerowego (zgodnie z SWZ Rozdział IV pkt. 8)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IIa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92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Wymagania techniczne: zestaw komputerowy (jednostka centralna)</w:t>
            </w:r>
            <w:r>
              <w:rPr>
                <w:rFonts w:ascii="Calibri" w:eastAsia="Calibri" w:hAnsi="Calibri" w:cs="Calibri"/>
                <w:b/>
              </w:rPr>
              <w:br/>
              <w:t xml:space="preserve"> - 21 kompletów </w:t>
            </w:r>
          </w:p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Procesor wielordzeniowy ze zintegrowaną grafiką, osiągający w teście CPU </w:t>
            </w:r>
            <w:proofErr w:type="spellStart"/>
            <w:r>
              <w:rPr>
                <w:bCs/>
                <w:sz w:val="24"/>
                <w:szCs w:val="24"/>
              </w:rPr>
              <w:t>Benchmark</w:t>
            </w:r>
            <w:proofErr w:type="spellEnd"/>
            <w:r>
              <w:rPr>
                <w:bCs/>
                <w:sz w:val="24"/>
                <w:szCs w:val="24"/>
              </w:rPr>
              <w:t xml:space="preserve"> wynik min. 23150 punktów zgodnie z załącznikiem „Ranking procesorów”, procesor min. 6 rdzeniowy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Nagwek21"/>
              <w:spacing w:line="240" w:lineRule="auto"/>
              <w:rPr>
                <w:rFonts w:ascii="Calibri" w:hAnsi="Calibri" w:cs="Calibr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</w:rPr>
              <w:t>Min. 8GB</w:t>
            </w:r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r>
              <w:rPr>
                <w:rFonts w:ascii="Calibri" w:eastAsia="Calibri" w:hAnsi="Calibri" w:cs="Calibri"/>
                <w:bCs/>
              </w:rPr>
              <w:t>DDR4</w:t>
            </w:r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r>
              <w:rPr>
                <w:rFonts w:ascii="Calibri" w:eastAsia="Calibri" w:hAnsi="Calibri" w:cs="Calibri"/>
                <w:bCs/>
              </w:rPr>
              <w:t xml:space="preserve">3200 </w:t>
            </w:r>
            <w:proofErr w:type="spellStart"/>
            <w:r>
              <w:rPr>
                <w:rFonts w:ascii="Calibri" w:eastAsia="Calibri" w:hAnsi="Calibri" w:cs="Calibri"/>
                <w:bCs/>
              </w:rPr>
              <w:t>MHz</w:t>
            </w:r>
            <w:proofErr w:type="spellEnd"/>
            <w:r>
              <w:rPr>
                <w:rFonts w:ascii="Calibri" w:eastAsia="Calibri" w:hAnsi="Calibri" w:cs="Calibri"/>
                <w:bCs/>
              </w:rPr>
              <w:t xml:space="preserve"> możliwość rozbudowy do min 64GB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Tak 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Nagwek21"/>
              <w:spacing w:line="240" w:lineRule="auto"/>
              <w:rPr>
                <w:rFonts w:ascii="Calibri" w:hAnsi="Calibri" w:cs="Calibr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Dysk twardy </w:t>
            </w:r>
            <w:r>
              <w:rPr>
                <w:bCs/>
                <w:sz w:val="24"/>
                <w:szCs w:val="24"/>
              </w:rPr>
              <w:t xml:space="preserve">Min. M.2 512 GB SSD </w:t>
            </w:r>
            <w:proofErr w:type="spellStart"/>
            <w:r>
              <w:rPr>
                <w:bCs/>
                <w:sz w:val="24"/>
                <w:szCs w:val="24"/>
              </w:rPr>
              <w:t>PCIe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NVMe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Tak 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Nagwek21"/>
              <w:spacing w:line="240" w:lineRule="auto"/>
              <w:rPr>
                <w:rFonts w:ascii="Calibri" w:hAnsi="Calibri" w:cs="Calibr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Porty wideo min.:</w:t>
            </w:r>
          </w:p>
          <w:p w:rsidR="002C25AA" w:rsidRDefault="0052062C">
            <w:pPr>
              <w:pStyle w:val="Inne0"/>
              <w:numPr>
                <w:ilvl w:val="0"/>
                <w:numId w:val="13"/>
              </w:numPr>
              <w:shd w:val="clear" w:color="auto" w:fill="auto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 x Display Port  </w:t>
            </w:r>
          </w:p>
          <w:p w:rsidR="002C25AA" w:rsidRDefault="0052062C">
            <w:pPr>
              <w:pStyle w:val="Inne0"/>
              <w:numPr>
                <w:ilvl w:val="0"/>
                <w:numId w:val="13"/>
              </w:numPr>
              <w:shd w:val="clear" w:color="auto" w:fill="auto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HDMI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2C25AA" w:rsidRDefault="0052062C">
            <w:pPr>
              <w:pStyle w:val="Inne0"/>
              <w:numPr>
                <w:ilvl w:val="0"/>
                <w:numId w:val="13"/>
              </w:numPr>
              <w:shd w:val="clear" w:color="auto" w:fill="auto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1x VGA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Tak 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Interfejsy sieciowe min.:</w:t>
            </w:r>
          </w:p>
          <w:p w:rsidR="002C25AA" w:rsidRDefault="0052062C">
            <w:pPr>
              <w:pStyle w:val="Inne0"/>
              <w:numPr>
                <w:ilvl w:val="0"/>
                <w:numId w:val="14"/>
              </w:numPr>
              <w:spacing w:after="40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 10/100/1000 </w:t>
            </w:r>
            <w:proofErr w:type="spellStart"/>
            <w:r>
              <w:rPr>
                <w:sz w:val="24"/>
                <w:szCs w:val="24"/>
              </w:rPr>
              <w:t>Mbps</w:t>
            </w:r>
            <w:proofErr w:type="spellEnd"/>
          </w:p>
          <w:p w:rsidR="002C25AA" w:rsidRDefault="0052062C">
            <w:pPr>
              <w:pStyle w:val="Inne0"/>
              <w:numPr>
                <w:ilvl w:val="0"/>
                <w:numId w:val="14"/>
              </w:numPr>
              <w:spacing w:after="40"/>
              <w:ind w:left="355" w:hanging="284"/>
            </w:pPr>
            <w:proofErr w:type="spellStart"/>
            <w:r>
              <w:rPr>
                <w:sz w:val="24"/>
                <w:szCs w:val="24"/>
              </w:rPr>
              <w:t>Wi-Fi</w:t>
            </w:r>
            <w:proofErr w:type="spellEnd"/>
            <w:r>
              <w:rPr>
                <w:sz w:val="24"/>
                <w:szCs w:val="24"/>
              </w:rPr>
              <w:t xml:space="preserve"> 802.11a/b/g/n/</w:t>
            </w:r>
            <w:proofErr w:type="spellStart"/>
            <w:r>
              <w:rPr>
                <w:sz w:val="24"/>
                <w:szCs w:val="24"/>
              </w:rPr>
              <w:t>ax</w:t>
            </w:r>
            <w:proofErr w:type="spellEnd"/>
          </w:p>
          <w:p w:rsidR="002C25AA" w:rsidRDefault="0052062C">
            <w:pPr>
              <w:pStyle w:val="Inne0"/>
              <w:numPr>
                <w:ilvl w:val="0"/>
                <w:numId w:val="14"/>
              </w:numPr>
              <w:spacing w:after="40"/>
              <w:ind w:left="355" w:hanging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Nagwek21"/>
              <w:spacing w:line="240" w:lineRule="auto"/>
              <w:rPr>
                <w:rFonts w:ascii="Calibri" w:hAnsi="Calibri" w:cs="Calibr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Nagwek41"/>
              <w:jc w:val="center"/>
              <w:rPr>
                <w:rFonts w:ascii="Calibri" w:hAnsi="Calibri" w:cs="Calibri"/>
                <w:b w:val="0"/>
                <w:i/>
                <w:i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 w:val="0"/>
                <w:sz w:val="24"/>
                <w:szCs w:val="24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Napęd optyczny min. </w:t>
            </w:r>
            <w:proofErr w:type="spellStart"/>
            <w:r>
              <w:rPr>
                <w:sz w:val="24"/>
                <w:szCs w:val="24"/>
              </w:rPr>
              <w:t>DVD-RW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Złącza - panel przedni min.:</w:t>
            </w:r>
          </w:p>
          <w:p w:rsidR="002C25AA" w:rsidRDefault="0052062C">
            <w:pPr>
              <w:pStyle w:val="Inne0"/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USB-C</w:t>
            </w:r>
            <w:proofErr w:type="spellEnd"/>
            <w:r>
              <w:rPr>
                <w:sz w:val="24"/>
                <w:szCs w:val="24"/>
              </w:rPr>
              <w:t xml:space="preserve"> 3.2  - 1 szt.</w:t>
            </w:r>
          </w:p>
          <w:p w:rsidR="002C25AA" w:rsidRDefault="0052062C">
            <w:pPr>
              <w:pStyle w:val="Inne0"/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USB 3.2 Gen. 1 - 2 szt.</w:t>
            </w:r>
          </w:p>
          <w:p w:rsidR="002C25AA" w:rsidRDefault="0052062C">
            <w:pPr>
              <w:pStyle w:val="Inne0"/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Wyjście słuchawkowe/wejście mikrofonowe (combo </w:t>
            </w:r>
            <w:proofErr w:type="spellStart"/>
            <w:r>
              <w:rPr>
                <w:sz w:val="24"/>
                <w:szCs w:val="24"/>
              </w:rPr>
              <w:t>jack</w:t>
            </w:r>
            <w:proofErr w:type="spellEnd"/>
            <w:r>
              <w:rPr>
                <w:sz w:val="24"/>
                <w:szCs w:val="24"/>
              </w:rPr>
              <w:t xml:space="preserve"> - 3,5mm)-1szt.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Złącza - panel tylny min:</w:t>
            </w:r>
          </w:p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USB 2.0 - 2 szt.</w:t>
            </w:r>
          </w:p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USB 3.2 - 2 szt.</w:t>
            </w:r>
          </w:p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RJ-45 (LAN) - 1 szt.</w:t>
            </w:r>
          </w:p>
          <w:p w:rsidR="002C25AA" w:rsidRPr="0052062C" w:rsidRDefault="0052062C">
            <w:pPr>
              <w:pStyle w:val="Inne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Display Port - 1 </w:t>
            </w:r>
            <w:proofErr w:type="spellStart"/>
            <w:r>
              <w:rPr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  <w:lang w:val="en-US"/>
              </w:rPr>
              <w:lastRenderedPageBreak/>
              <w:t xml:space="preserve">- VGA - 1 </w:t>
            </w:r>
            <w:proofErr w:type="spellStart"/>
            <w:r>
              <w:rPr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HDMI - 1 szt.</w:t>
            </w:r>
          </w:p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- 1x wyjście słuchawkowe (3,5mm) - 1szt.</w:t>
            </w:r>
          </w:p>
          <w:p w:rsidR="002C25AA" w:rsidRDefault="0052062C">
            <w:pPr>
              <w:pStyle w:val="Inn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AC-in</w:t>
            </w:r>
            <w:proofErr w:type="spellEnd"/>
            <w:r>
              <w:rPr>
                <w:sz w:val="24"/>
                <w:szCs w:val="24"/>
              </w:rPr>
              <w:t xml:space="preserve"> (wejście zasilania) - 1 szt.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Obudowa typu Tower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System operacyjny  komputerów  powinien :</w:t>
            </w:r>
          </w:p>
          <w:p w:rsidR="002C25AA" w:rsidRPr="0052062C" w:rsidRDefault="0052062C">
            <w:pPr>
              <w:pStyle w:val="Inne0"/>
              <w:numPr>
                <w:ilvl w:val="0"/>
                <w:numId w:val="15"/>
              </w:numPr>
              <w:shd w:val="clear" w:color="auto" w:fill="auto"/>
              <w:ind w:left="355" w:hanging="284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umożliwiać  współprace z posiadanym przez </w:t>
            </w:r>
            <w:proofErr w:type="spellStart"/>
            <w:r>
              <w:rPr>
                <w:bCs/>
                <w:sz w:val="24"/>
                <w:szCs w:val="24"/>
              </w:rPr>
              <w:t>BCO-SM</w:t>
            </w:r>
            <w:proofErr w:type="spellEnd"/>
            <w:r>
              <w:rPr>
                <w:bCs/>
                <w:sz w:val="24"/>
                <w:szCs w:val="24"/>
              </w:rPr>
              <w:t xml:space="preserve">  w Bielsku-Białej  oprogramowaniem medycznym oraz administracyjnym  min. </w:t>
            </w:r>
            <w:r>
              <w:rPr>
                <w:bCs/>
                <w:sz w:val="24"/>
                <w:szCs w:val="24"/>
                <w:lang w:val="en-US"/>
              </w:rPr>
              <w:t xml:space="preserve">Siemens Syngo.via , GE AW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Asseco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 Info-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medica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, AMMS, Agfa .</w:t>
            </w:r>
          </w:p>
          <w:p w:rsidR="002C25AA" w:rsidRDefault="0052062C">
            <w:pPr>
              <w:pStyle w:val="Inne0"/>
              <w:numPr>
                <w:ilvl w:val="0"/>
                <w:numId w:val="15"/>
              </w:numPr>
              <w:shd w:val="clear" w:color="auto" w:fill="auto"/>
              <w:ind w:left="355" w:hanging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podłączenie  komputerów do  wykorzystywanego w  szpitalu kontrolera  domeny  Microsoft  </w:t>
            </w:r>
            <w:proofErr w:type="spellStart"/>
            <w:r>
              <w:rPr>
                <w:bCs/>
                <w:sz w:val="24"/>
                <w:szCs w:val="24"/>
              </w:rPr>
              <w:t>Active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Directory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2C25AA" w:rsidRDefault="0052062C">
            <w:pPr>
              <w:pStyle w:val="Inne0"/>
              <w:numPr>
                <w:ilvl w:val="0"/>
                <w:numId w:val="15"/>
              </w:numPr>
              <w:shd w:val="clear" w:color="auto" w:fill="auto"/>
              <w:ind w:left="355" w:hanging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:rsidR="002C25AA" w:rsidRDefault="0052062C">
            <w:pPr>
              <w:pStyle w:val="Inne0"/>
              <w:numPr>
                <w:ilvl w:val="0"/>
                <w:numId w:val="15"/>
              </w:numPr>
              <w:shd w:val="clear" w:color="auto" w:fill="auto"/>
              <w:ind w:left="355" w:hanging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klucz licencyjny musi być zapisany trwale w BIOS i umożliwiać instalację systemu operacyjnego na podstawie dołączonego nośnika bezpośrednio z wbudowanego napędu lub zdalnie bez potrzeby ręcznego wpisywania klucza licencyjnego.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Tak, podać</w:t>
            </w:r>
          </w:p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W zestawie klawiatura i mysz optyczna, przewód zasilający, podkładka pod mysz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Stopka1"/>
              <w:tabs>
                <w:tab w:val="left" w:pos="708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IIb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92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 w:rsidP="0052062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Wymagania techniczne: Monitor - 21 szt.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Proporcje obrazu 16:9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Przekątna ekranu min. 23,8 cale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69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matrycy IPS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Podświetlenie typu WLED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Rozdzielczość min. 1920x1080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Odświeżanie matrycy min. 100 Hz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Czas reakcji </w:t>
            </w:r>
            <w:proofErr w:type="spellStart"/>
            <w:r>
              <w:rPr>
                <w:sz w:val="24"/>
                <w:szCs w:val="24"/>
              </w:rPr>
              <w:t>max</w:t>
            </w:r>
            <w:proofErr w:type="spellEnd"/>
            <w:r>
              <w:rPr>
                <w:sz w:val="24"/>
                <w:szCs w:val="24"/>
              </w:rPr>
              <w:t xml:space="preserve">. 4 </w:t>
            </w:r>
            <w:proofErr w:type="spellStart"/>
            <w:r>
              <w:rPr>
                <w:sz w:val="24"/>
                <w:szCs w:val="24"/>
              </w:rPr>
              <w:t>ms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Jasność min. 250 </w:t>
            </w:r>
            <w:proofErr w:type="spellStart"/>
            <w:r>
              <w:rPr>
                <w:sz w:val="24"/>
                <w:szCs w:val="24"/>
              </w:rPr>
              <w:t>cd</w:t>
            </w:r>
            <w:proofErr w:type="spellEnd"/>
            <w:r>
              <w:rPr>
                <w:sz w:val="24"/>
                <w:szCs w:val="24"/>
              </w:rPr>
              <w:t>/m2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Kontrast statyczny min. 1300:1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Kąt widzenia poziomy min. 178 °</w:t>
            </w:r>
          </w:p>
          <w:p w:rsidR="002C25AA" w:rsidRDefault="0052062C">
            <w:pPr>
              <w:pStyle w:val="Inne0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Kąt widzenia pionowy min. 178 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57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eastAsia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Regulacja kąta pochylenia (</w:t>
            </w:r>
            <w:proofErr w:type="spellStart"/>
            <w:r>
              <w:rPr>
                <w:sz w:val="24"/>
                <w:szCs w:val="24"/>
              </w:rPr>
              <w:t>Tilt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699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eastAsia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Regulacja wysokości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  <w:p w:rsidR="002C25AA" w:rsidRDefault="002C25AA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eastAsia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Wbudowane głośniki min. 2Wx2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Gniazda wejścia/wyjścia min.:</w:t>
            </w:r>
          </w:p>
          <w:p w:rsidR="002C25AA" w:rsidRDefault="0052062C">
            <w:pPr>
              <w:pStyle w:val="Inne0"/>
              <w:numPr>
                <w:ilvl w:val="0"/>
                <w:numId w:val="16"/>
              </w:numPr>
              <w:shd w:val="clear" w:color="auto" w:fill="auto"/>
              <w:spacing w:after="60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HDMI</w:t>
            </w:r>
          </w:p>
          <w:p w:rsidR="002C25AA" w:rsidRDefault="0052062C">
            <w:pPr>
              <w:pStyle w:val="Inne0"/>
              <w:numPr>
                <w:ilvl w:val="0"/>
                <w:numId w:val="16"/>
              </w:numPr>
              <w:shd w:val="clear" w:color="auto" w:fill="auto"/>
              <w:spacing w:after="60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Display Port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Tak,podać</w:t>
            </w:r>
            <w:proofErr w:type="spellEnd"/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zestawie:</w:t>
            </w:r>
          </w:p>
          <w:p w:rsidR="002C25AA" w:rsidRDefault="0052062C">
            <w:pPr>
              <w:pStyle w:val="Inne0"/>
              <w:numPr>
                <w:ilvl w:val="0"/>
                <w:numId w:val="17"/>
              </w:numPr>
              <w:shd w:val="clear" w:color="auto" w:fill="auto"/>
              <w:spacing w:after="60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Kabel HDMI</w:t>
            </w:r>
          </w:p>
          <w:p w:rsidR="002C25AA" w:rsidRDefault="0052062C">
            <w:pPr>
              <w:pStyle w:val="Inne0"/>
              <w:numPr>
                <w:ilvl w:val="0"/>
                <w:numId w:val="17"/>
              </w:numPr>
              <w:shd w:val="clear" w:color="auto" w:fill="auto"/>
              <w:spacing w:after="60"/>
              <w:ind w:left="355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Kabel zasilający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7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pStyle w:val="Akapitzlist"/>
              <w:numPr>
                <w:ilvl w:val="0"/>
                <w:numId w:val="19"/>
              </w:numPr>
              <w:ind w:left="360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Monitor z jednostką centralną od jednego producenta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Tak - 20  </w:t>
            </w:r>
            <w:proofErr w:type="spellStart"/>
            <w:r>
              <w:rPr>
                <w:rFonts w:ascii="Calibri" w:eastAsia="Calibri" w:hAnsi="Calibri" w:cs="Calibri"/>
                <w:lang w:eastAsia="en-US"/>
              </w:rPr>
              <w:t>pkt</w:t>
            </w:r>
            <w:proofErr w:type="spellEnd"/>
          </w:p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Nie – 0 pkt. 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INNE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Instrukcja obsługi w języku polskim (załączyć w wersji papierowej, bądź elektronicznej)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ind w:left="72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tabs>
                <w:tab w:val="num" w:pos="720"/>
                <w:tab w:val="num" w:pos="1080"/>
              </w:tabs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Oświadczenie (wraz z kopią deklaracje zgodności CE) potwierdzające, że oferowany wyrób oznakowany jest znakiem CE i posiada ważne deklaracje zgodności CE – </w:t>
            </w:r>
            <w:r>
              <w:rPr>
                <w:rFonts w:ascii="Calibri" w:eastAsia="Calibri" w:hAnsi="Calibri" w:cs="Calibri"/>
                <w:b/>
              </w:rPr>
              <w:t>dołączyć do oferty.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spacing w:val="-6"/>
                <w:lang w:eastAsia="en-US"/>
              </w:rPr>
              <w:t>Udzielenie gwarancji  jakości dla przedmiotu zamówienia na okres nie krótszy niż 24 miesiące oraz rękojmi za wady na okres równy okresowi udzielonej gwarancji dla sprzętu.</w:t>
            </w:r>
            <w:r>
              <w:rPr>
                <w:rFonts w:ascii="Calibri" w:eastAsia="Calibri" w:hAnsi="Calibri" w:cs="Calibri"/>
              </w:rPr>
              <w:t xml:space="preserve"> (podać)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24 miesiące - 0 pkt.</w:t>
            </w:r>
          </w:p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36 miesięcy i więcej - 10 </w:t>
            </w:r>
            <w:proofErr w:type="spellStart"/>
            <w:r>
              <w:rPr>
                <w:rFonts w:ascii="Calibri" w:eastAsia="Calibri" w:hAnsi="Calibri" w:cs="Calibri"/>
                <w:lang w:eastAsia="en-US"/>
              </w:rPr>
              <w:t>pkt</w:t>
            </w:r>
            <w:proofErr w:type="spellEnd"/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  <w:spacing w:val="-6"/>
              </w:rPr>
            </w:pP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Wykonanie w ramach wynagrodzenia umownego obowiązkowych przeglądów w okresie gwarancji, zgodnie z wymaganiami i w ilościach zalecanych przez producenta sprzętu oraz przepisami prawa w cenie oferty . Lecz nie rzadziej niż 1 raz w roku kalendarzowym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Pr="0052062C" w:rsidRDefault="0052062C">
            <w:pPr>
              <w:jc w:val="center"/>
              <w:rPr>
                <w:rFonts w:ascii="Calibri" w:hAnsi="Calibri" w:cs="Calibri"/>
              </w:rPr>
            </w:pPr>
            <w:r w:rsidRPr="0052062C"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Pr="0052062C" w:rsidRDefault="0052062C">
            <w:pPr>
              <w:pStyle w:val="Default"/>
              <w:rPr>
                <w:rFonts w:ascii="Calibri" w:hAnsi="Calibri" w:cs="Calibri"/>
              </w:rPr>
            </w:pPr>
            <w:r w:rsidRPr="0052062C">
              <w:rPr>
                <w:rFonts w:ascii="Calibri" w:hAnsi="Calibri" w:cs="Calibri"/>
                <w:spacing w:val="-6"/>
                <w:lang w:eastAsia="en-US"/>
              </w:rPr>
              <w:t>Serwis gwarancyjny w okresie udzielonej Zamawiającemu gwarancji i rękojmi za wady na okres równy okresowi udzielonej gwarancji.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Pr="0052062C" w:rsidRDefault="0052062C">
            <w:pPr>
              <w:jc w:val="center"/>
              <w:rPr>
                <w:rFonts w:ascii="Calibri" w:hAnsi="Calibri" w:cs="Calibri"/>
              </w:rPr>
            </w:pPr>
            <w:r w:rsidRPr="0052062C"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Pr="0052062C" w:rsidRDefault="002C25A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Pr="0052062C" w:rsidRDefault="0052062C">
            <w:pPr>
              <w:jc w:val="center"/>
              <w:rPr>
                <w:rFonts w:ascii="Calibri" w:hAnsi="Calibri" w:cs="Calibri"/>
              </w:rPr>
            </w:pPr>
            <w:r w:rsidRPr="0052062C"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pStyle w:val="AbsatzTableFormat"/>
              <w:rPr>
                <w:rFonts w:ascii="Calibri" w:hAnsi="Calibri" w:cs="Calibri"/>
                <w:spacing w:val="-6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Siedziba serwisu - dokładny adres i nr telefonu, adres e-mail.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Tak, podać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jc w:val="center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  <w:spacing w:val="-6"/>
              </w:rPr>
            </w:pPr>
            <w:r>
              <w:rPr>
                <w:rFonts w:ascii="Calibri" w:eastAsia="Calibri" w:hAnsi="Calibri" w:cs="Calibri"/>
                <w:spacing w:val="-6"/>
                <w:lang w:eastAsia="en-US"/>
              </w:rPr>
              <w:t>Czas reakcji serwisu do 48</w:t>
            </w:r>
            <w:r>
              <w:rPr>
                <w:rFonts w:ascii="Calibri" w:eastAsia="Calibri" w:hAnsi="Calibri" w:cs="Calibri"/>
                <w:b/>
                <w:bCs/>
                <w:spacing w:val="-6"/>
                <w:lang w:eastAsia="en-US"/>
              </w:rPr>
              <w:t xml:space="preserve"> godzin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w dni robocze od momentu zgłoszenia wady (awarii) rozumiany jako podjęcie działań naprawczych.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pStyle w:val="Tekstpodstawowywcity"/>
              <w:spacing w:after="0" w:line="240" w:lineRule="auto"/>
              <w:ind w:left="0"/>
              <w:rPr>
                <w:rFonts w:ascii="Calibri" w:hAnsi="Calibri" w:cs="Calibri"/>
                <w:spacing w:val="-6"/>
                <w:szCs w:val="24"/>
              </w:rPr>
            </w:pPr>
            <w:r>
              <w:rPr>
                <w:rFonts w:ascii="Calibri" w:eastAsia="Calibri" w:hAnsi="Calibri" w:cs="Calibri"/>
                <w:szCs w:val="24"/>
              </w:rPr>
              <w:t>Maksymalny czas usunięcia awarii w ramach gwarancji nie może przekroczyć  7</w:t>
            </w:r>
            <w:r>
              <w:rPr>
                <w:rFonts w:ascii="Calibri" w:eastAsia="Calibri" w:hAnsi="Calibri" w:cs="Calibri"/>
                <w:b/>
                <w:bCs/>
                <w:szCs w:val="24"/>
              </w:rPr>
              <w:t xml:space="preserve"> dni</w:t>
            </w:r>
            <w:r>
              <w:rPr>
                <w:rFonts w:ascii="Calibri" w:eastAsia="Calibri" w:hAnsi="Calibri" w:cs="Calibri"/>
                <w:szCs w:val="24"/>
              </w:rPr>
              <w:t xml:space="preserve"> roboczych w przypadku konieczności dostarczenia nowych części 7 dni . W przypadku przedłużenia czasu naprawy powyżej  10 roboczych dni konieczność wstawienia sprzętu zastępczego tej samej klasy.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Gwarancja dostępności części zamiennych, materiałów eksploatacyjnych – minimum 5 lat od </w:t>
            </w:r>
            <w:r>
              <w:rPr>
                <w:rFonts w:ascii="Calibri" w:eastAsia="Calibri" w:hAnsi="Calibri" w:cs="Calibri"/>
                <w:lang w:eastAsia="en-US"/>
              </w:rPr>
              <w:lastRenderedPageBreak/>
              <w:t>daty dostarczenia Sprzętu.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rPr>
                <w:rFonts w:ascii="Calibri" w:hAnsi="Calibri" w:cs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  <w:tr w:rsidR="002C25AA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W okresie gwarancji 3 naprawy tego samego typu (techniczne, lub wynikające z wad ukrytych) powodują wymianę elementów na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Tak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2C25A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AA" w:rsidRDefault="0052062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bez oceny</w:t>
            </w:r>
          </w:p>
        </w:tc>
      </w:tr>
    </w:tbl>
    <w:p w:rsidR="002C25AA" w:rsidRDefault="0052062C">
      <w:r>
        <w:rPr>
          <w:rFonts w:asciiTheme="minorHAnsi" w:hAnsiTheme="minorHAnsi" w:cs="Arial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C25AA" w:rsidRDefault="002C25AA"/>
    <w:p w:rsidR="002C25AA" w:rsidRDefault="0052062C">
      <w:pPr>
        <w:spacing w:after="200"/>
        <w:ind w:left="1410" w:hanging="14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UWAGA: Niespełnienie wymaganych parametrów i warunków spowoduje odrzucenie oferty. </w:t>
      </w:r>
    </w:p>
    <w:p w:rsidR="002C25AA" w:rsidRDefault="0052062C">
      <w:pPr>
        <w:jc w:val="both"/>
      </w:pPr>
      <w:r>
        <w:t xml:space="preserve">Brak odpowiedniego wpisu przez wykonawcę w kolumnie „Parametr oferowany” będzie traktowane, jako brak danego parametru/warunku w oferowanej konfiguracji urządzenia i będzie podstawą odrzucenia oferty. </w:t>
      </w:r>
    </w:p>
    <w:p w:rsidR="002C25AA" w:rsidRDefault="0052062C">
      <w:pPr>
        <w:jc w:val="both"/>
      </w:pPr>
      <w:r>
        <w:t xml:space="preserve">Oświadczam, że oferowane urządzenie (Sprzęt) spełnia wymagania techniczne zawarte </w:t>
      </w:r>
    </w:p>
    <w:p w:rsidR="002C25AA" w:rsidRDefault="0052062C">
      <w:pPr>
        <w:jc w:val="both"/>
      </w:pPr>
      <w:r>
        <w:t>w SWZ, jest fabryczne nowe, kompletne i będzie gotowe do użytku bez żadnych dodatkowych zakupów i inwestycji (poza materiałami eksploatacyjnymi) oraz gwarantuje bezpieczeństwo personelu i zapewnia wymagany poziom usług.</w:t>
      </w:r>
    </w:p>
    <w:p w:rsidR="002C25AA" w:rsidRDefault="002C25AA">
      <w:pPr>
        <w:jc w:val="both"/>
      </w:pPr>
    </w:p>
    <w:p w:rsidR="002C25AA" w:rsidRDefault="0052062C">
      <w:pPr>
        <w:jc w:val="both"/>
        <w:rPr>
          <w:b/>
        </w:rPr>
      </w:pPr>
      <w:r>
        <w:rPr>
          <w:b/>
        </w:rPr>
        <w:t>Wszystkie elementy jednostki centralnej komputera muszą być przykręcone/zamontowane zgodnie ze  sztuką i zgodnie z przeznaczeniem - nie dopuszczalne jest stosowanie wypełnień z materiałów nie dedykowanych do takich zastosowań. Zamawiający nie dopuszcza również stosowania adapterów bądź kabli przejściowych.</w:t>
      </w:r>
    </w:p>
    <w:p w:rsidR="002C25AA" w:rsidRDefault="002C25AA">
      <w:pPr>
        <w:jc w:val="both"/>
      </w:pPr>
    </w:p>
    <w:p w:rsidR="002C25AA" w:rsidRDefault="0052062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</w:t>
      </w:r>
    </w:p>
    <w:p w:rsidR="002C25AA" w:rsidRDefault="0052062C">
      <w:pPr>
        <w:jc w:val="center"/>
      </w:pPr>
      <w:r>
        <w:t xml:space="preserve"> ............................................................................</w:t>
      </w:r>
    </w:p>
    <w:p w:rsidR="002C25AA" w:rsidRDefault="0052062C">
      <w:pPr>
        <w:jc w:val="center"/>
      </w:pPr>
      <w:r>
        <w:t xml:space="preserve">miejscowość i data                                                    </w:t>
      </w:r>
    </w:p>
    <w:p w:rsidR="002C25AA" w:rsidRDefault="002C25AA">
      <w:pPr>
        <w:ind w:firstLine="708"/>
      </w:pPr>
    </w:p>
    <w:p w:rsidR="002C25AA" w:rsidRDefault="002C25AA">
      <w:pPr>
        <w:ind w:firstLine="708"/>
      </w:pPr>
    </w:p>
    <w:p w:rsidR="002C25AA" w:rsidRDefault="002C25AA"/>
    <w:p w:rsidR="002C25AA" w:rsidRDefault="0052062C">
      <w:pPr>
        <w:spacing w:line="276" w:lineRule="auto"/>
        <w:jc w:val="center"/>
        <w:rPr>
          <w:lang w:eastAsia="en-US"/>
        </w:rPr>
      </w:pPr>
      <w:r>
        <w:rPr>
          <w:b/>
          <w:bCs/>
        </w:rPr>
        <w:t>Formularz podpisany przy pomocy podpisu elektronicznego</w:t>
      </w:r>
    </w:p>
    <w:p w:rsidR="002C25AA" w:rsidRDefault="0052062C">
      <w:pPr>
        <w:spacing w:line="276" w:lineRule="auto"/>
        <w:jc w:val="center"/>
      </w:pPr>
      <w:r>
        <w:t xml:space="preserve">dokument należy wypełnić i podpisać kwalifikowanym podpisem elektronicznym </w:t>
      </w:r>
    </w:p>
    <w:p w:rsidR="002C25AA" w:rsidRDefault="0052062C">
      <w:pPr>
        <w:spacing w:line="276" w:lineRule="auto"/>
        <w:jc w:val="center"/>
      </w:pPr>
      <w:r>
        <w:t>Zamawiający zaleca zapisanie dokumentu w formacie PDF</w:t>
      </w:r>
    </w:p>
    <w:p w:rsidR="002C25AA" w:rsidRDefault="002C25AA"/>
    <w:sectPr w:rsidR="002C25AA" w:rsidSect="002C25AA">
      <w:pgSz w:w="11906" w:h="16838"/>
      <w:pgMar w:top="567" w:right="707" w:bottom="1417" w:left="709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5AA" w:rsidRDefault="0052062C">
      <w:r>
        <w:separator/>
      </w:r>
    </w:p>
  </w:endnote>
  <w:endnote w:type="continuationSeparator" w:id="0">
    <w:p w:rsidR="002C25AA" w:rsidRDefault="00520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Brotherhood Script"/>
    <w:panose1 w:val="020B0606020202030204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5AA" w:rsidRDefault="0052062C">
      <w:r>
        <w:separator/>
      </w:r>
    </w:p>
  </w:footnote>
  <w:footnote w:type="continuationSeparator" w:id="0">
    <w:p w:rsidR="002C25AA" w:rsidRDefault="00520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F8B"/>
    <w:multiLevelType w:val="multilevel"/>
    <w:tmpl w:val="ACB2DA9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5427D"/>
    <w:multiLevelType w:val="multilevel"/>
    <w:tmpl w:val="155CAB80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D57CD"/>
    <w:multiLevelType w:val="multilevel"/>
    <w:tmpl w:val="43706CA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5030C"/>
    <w:multiLevelType w:val="multilevel"/>
    <w:tmpl w:val="32A430B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32D7F"/>
    <w:multiLevelType w:val="multilevel"/>
    <w:tmpl w:val="3592B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147047"/>
    <w:multiLevelType w:val="multilevel"/>
    <w:tmpl w:val="4DDC71D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29DA5C19"/>
    <w:multiLevelType w:val="multilevel"/>
    <w:tmpl w:val="CF8E0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A832CC"/>
    <w:multiLevelType w:val="multilevel"/>
    <w:tmpl w:val="D84A1AD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6194C"/>
    <w:multiLevelType w:val="multilevel"/>
    <w:tmpl w:val="710AFDF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634107"/>
    <w:multiLevelType w:val="multilevel"/>
    <w:tmpl w:val="B136092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B210A"/>
    <w:multiLevelType w:val="multilevel"/>
    <w:tmpl w:val="66542F8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46770723"/>
    <w:multiLevelType w:val="multilevel"/>
    <w:tmpl w:val="038C7EA0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3C7B22"/>
    <w:multiLevelType w:val="multilevel"/>
    <w:tmpl w:val="3B06BD8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E0C34"/>
    <w:multiLevelType w:val="multilevel"/>
    <w:tmpl w:val="D40A3DD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960A5"/>
    <w:multiLevelType w:val="multilevel"/>
    <w:tmpl w:val="AB96289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21E4C"/>
    <w:multiLevelType w:val="multilevel"/>
    <w:tmpl w:val="15D605E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A2414"/>
    <w:multiLevelType w:val="multilevel"/>
    <w:tmpl w:val="AEAED44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639E76CB"/>
    <w:multiLevelType w:val="multilevel"/>
    <w:tmpl w:val="4A948D90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00ED4"/>
    <w:multiLevelType w:val="multilevel"/>
    <w:tmpl w:val="07CA456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6A8F45E2"/>
    <w:multiLevelType w:val="multilevel"/>
    <w:tmpl w:val="4142F638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64FB1"/>
    <w:multiLevelType w:val="multilevel"/>
    <w:tmpl w:val="F57E689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B14D07"/>
    <w:multiLevelType w:val="multilevel"/>
    <w:tmpl w:val="7C74D470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4"/>
  </w:num>
  <w:num w:numId="5">
    <w:abstractNumId w:val="12"/>
  </w:num>
  <w:num w:numId="6">
    <w:abstractNumId w:val="0"/>
  </w:num>
  <w:num w:numId="7">
    <w:abstractNumId w:val="15"/>
  </w:num>
  <w:num w:numId="8">
    <w:abstractNumId w:val="4"/>
  </w:num>
  <w:num w:numId="9">
    <w:abstractNumId w:val="21"/>
  </w:num>
  <w:num w:numId="10">
    <w:abstractNumId w:val="5"/>
  </w:num>
  <w:num w:numId="11">
    <w:abstractNumId w:val="13"/>
  </w:num>
  <w:num w:numId="12">
    <w:abstractNumId w:val="3"/>
  </w:num>
  <w:num w:numId="13">
    <w:abstractNumId w:val="1"/>
  </w:num>
  <w:num w:numId="14">
    <w:abstractNumId w:val="17"/>
  </w:num>
  <w:num w:numId="15">
    <w:abstractNumId w:val="7"/>
  </w:num>
  <w:num w:numId="16">
    <w:abstractNumId w:val="2"/>
  </w:num>
  <w:num w:numId="17">
    <w:abstractNumId w:val="19"/>
  </w:num>
  <w:num w:numId="18">
    <w:abstractNumId w:val="10"/>
  </w:num>
  <w:num w:numId="19">
    <w:abstractNumId w:val="18"/>
  </w:num>
  <w:num w:numId="20">
    <w:abstractNumId w:val="6"/>
  </w:num>
  <w:num w:numId="21">
    <w:abstractNumId w:val="2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5AA"/>
    <w:rsid w:val="002C25AA"/>
    <w:rsid w:val="0052062C"/>
    <w:rsid w:val="008D661D"/>
    <w:rsid w:val="0096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pacing w:line="276" w:lineRule="auto"/>
        <w:ind w:left="107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5AA"/>
    <w:pPr>
      <w:spacing w:line="240" w:lineRule="auto"/>
      <w:ind w:left="0" w:firstLine="0"/>
      <w:jc w:val="left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C25AA"/>
    <w:pPr>
      <w:keepNext/>
      <w:tabs>
        <w:tab w:val="num" w:pos="0"/>
      </w:tabs>
      <w:outlineLvl w:val="0"/>
    </w:pPr>
    <w:rPr>
      <w:b/>
      <w:bCs/>
    </w:rPr>
  </w:style>
  <w:style w:type="paragraph" w:customStyle="1" w:styleId="Heading2">
    <w:name w:val="Heading 2"/>
    <w:basedOn w:val="Normalny"/>
    <w:next w:val="Normalny"/>
    <w:link w:val="Nagwek2Znak"/>
    <w:qFormat/>
    <w:rsid w:val="002C25AA"/>
    <w:pPr>
      <w:keepNext/>
      <w:tabs>
        <w:tab w:val="num" w:pos="0"/>
      </w:tabs>
      <w:ind w:firstLine="708"/>
      <w:outlineLvl w:val="1"/>
    </w:pPr>
  </w:style>
  <w:style w:type="paragraph" w:customStyle="1" w:styleId="Heading3">
    <w:name w:val="Heading 3"/>
    <w:basedOn w:val="Normalny"/>
    <w:next w:val="Normalny"/>
    <w:link w:val="Nagwek3Znak"/>
    <w:qFormat/>
    <w:rsid w:val="002C25AA"/>
    <w:pPr>
      <w:keepNext/>
      <w:tabs>
        <w:tab w:val="num" w:pos="0"/>
      </w:tabs>
      <w:outlineLvl w:val="2"/>
    </w:pPr>
  </w:style>
  <w:style w:type="paragraph" w:customStyle="1" w:styleId="Heading4">
    <w:name w:val="Heading 4"/>
    <w:basedOn w:val="Normalny"/>
    <w:next w:val="Normalny"/>
    <w:link w:val="Nagwek4Znak"/>
    <w:qFormat/>
    <w:rsid w:val="002C25AA"/>
    <w:pPr>
      <w:keepNext/>
      <w:tabs>
        <w:tab w:val="num" w:pos="0"/>
      </w:tabs>
      <w:ind w:left="705"/>
      <w:outlineLvl w:val="3"/>
    </w:pPr>
    <w:rPr>
      <w:b/>
      <w:bCs/>
    </w:rPr>
  </w:style>
  <w:style w:type="paragraph" w:customStyle="1" w:styleId="Heading5">
    <w:name w:val="Heading 5"/>
    <w:basedOn w:val="Normalny"/>
    <w:next w:val="Normalny"/>
    <w:link w:val="Nagwek5Znak"/>
    <w:qFormat/>
    <w:rsid w:val="002C25AA"/>
    <w:pPr>
      <w:keepNext/>
      <w:tabs>
        <w:tab w:val="num" w:pos="0"/>
      </w:tabs>
      <w:ind w:left="705"/>
      <w:outlineLvl w:val="4"/>
    </w:pPr>
  </w:style>
  <w:style w:type="paragraph" w:customStyle="1" w:styleId="Heading6">
    <w:name w:val="Heading 6"/>
    <w:basedOn w:val="Normalny"/>
    <w:next w:val="Normalny"/>
    <w:link w:val="Nagwek6Znak"/>
    <w:qFormat/>
    <w:rsid w:val="002C25AA"/>
    <w:pPr>
      <w:keepNext/>
      <w:tabs>
        <w:tab w:val="num" w:pos="0"/>
      </w:tabs>
      <w:outlineLvl w:val="5"/>
    </w:pPr>
    <w:rPr>
      <w:b/>
      <w:bCs/>
      <w:sz w:val="20"/>
      <w:szCs w:val="20"/>
    </w:rPr>
  </w:style>
  <w:style w:type="paragraph" w:customStyle="1" w:styleId="Heading7">
    <w:name w:val="Heading 7"/>
    <w:basedOn w:val="Normalny"/>
    <w:next w:val="Normalny"/>
    <w:link w:val="Nagwek7Znak"/>
    <w:qFormat/>
    <w:rsid w:val="002C25AA"/>
    <w:pPr>
      <w:keepNext/>
      <w:tabs>
        <w:tab w:val="num" w:pos="0"/>
      </w:tabs>
      <w:ind w:left="426" w:hanging="426"/>
      <w:outlineLvl w:val="6"/>
    </w:pPr>
    <w:rPr>
      <w:b/>
      <w:bCs/>
      <w:sz w:val="20"/>
      <w:szCs w:val="20"/>
    </w:rPr>
  </w:style>
  <w:style w:type="paragraph" w:customStyle="1" w:styleId="Heading8">
    <w:name w:val="Heading 8"/>
    <w:basedOn w:val="Normalny"/>
    <w:next w:val="Normalny"/>
    <w:link w:val="Nagwek8Znak"/>
    <w:qFormat/>
    <w:rsid w:val="002C25AA"/>
    <w:pPr>
      <w:keepNext/>
      <w:tabs>
        <w:tab w:val="num" w:pos="0"/>
      </w:tabs>
      <w:ind w:left="567"/>
      <w:outlineLvl w:val="7"/>
    </w:pPr>
    <w:rPr>
      <w:b/>
      <w:bCs/>
      <w:sz w:val="20"/>
      <w:szCs w:val="20"/>
    </w:rPr>
  </w:style>
  <w:style w:type="paragraph" w:customStyle="1" w:styleId="Heading9">
    <w:name w:val="Heading 9"/>
    <w:basedOn w:val="Normalny"/>
    <w:next w:val="Normalny"/>
    <w:link w:val="Nagwek9Znak"/>
    <w:qFormat/>
    <w:rsid w:val="002C25AA"/>
    <w:pPr>
      <w:keepNext/>
      <w:tabs>
        <w:tab w:val="num" w:pos="0"/>
      </w:tabs>
      <w:ind w:left="720" w:hanging="720"/>
      <w:outlineLvl w:val="8"/>
    </w:pPr>
    <w:rPr>
      <w:b/>
      <w:sz w:val="20"/>
      <w:szCs w:val="20"/>
    </w:rPr>
  </w:style>
  <w:style w:type="character" w:customStyle="1" w:styleId="TitleChar">
    <w:name w:val="Title Char"/>
    <w:basedOn w:val="Domylnaczcionkaakapitu"/>
    <w:uiPriority w:val="10"/>
    <w:rsid w:val="002C25AA"/>
    <w:rPr>
      <w:rFonts w:ascii="Arial" w:eastAsia="Arial" w:hAnsi="Arial" w:cs="Arial"/>
      <w:spacing w:val="-10"/>
      <w:sz w:val="56"/>
      <w:szCs w:val="56"/>
    </w:rPr>
  </w:style>
  <w:style w:type="character" w:customStyle="1" w:styleId="IntenseQuoteChar">
    <w:name w:val="Intense Quote Char"/>
    <w:basedOn w:val="Domylnaczcionkaakapitu"/>
    <w:uiPriority w:val="30"/>
    <w:rsid w:val="002C25AA"/>
    <w:rPr>
      <w:i/>
      <w:iCs/>
      <w:color w:val="365F91" w:themeColor="accent1" w:themeShade="BF"/>
    </w:rPr>
  </w:style>
  <w:style w:type="character" w:customStyle="1" w:styleId="HeaderChar">
    <w:name w:val="Header Char"/>
    <w:basedOn w:val="Domylnaczcionkaakapitu"/>
    <w:uiPriority w:val="99"/>
    <w:rsid w:val="002C25AA"/>
  </w:style>
  <w:style w:type="character" w:customStyle="1" w:styleId="FootnoteTextChar">
    <w:name w:val="Footnote Text Char"/>
    <w:basedOn w:val="Domylnaczcionkaakapitu"/>
    <w:uiPriority w:val="99"/>
    <w:semiHidden/>
    <w:rsid w:val="002C25AA"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rsid w:val="002C25AA"/>
    <w:rPr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2C25AA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25AA"/>
    <w:rPr>
      <w:b/>
      <w:bCs/>
      <w:smallCaps/>
      <w:color w:val="365F91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sid w:val="002C25AA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2C25AA"/>
    <w:rPr>
      <w:i/>
      <w:iCs/>
    </w:rPr>
  </w:style>
  <w:style w:type="character" w:styleId="Odwoaniedelikatne">
    <w:name w:val="Subtle Reference"/>
    <w:basedOn w:val="Domylnaczcionkaakapitu"/>
    <w:uiPriority w:val="31"/>
    <w:qFormat/>
    <w:rsid w:val="002C25AA"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sid w:val="002C25AA"/>
    <w:rPr>
      <w:b/>
      <w:bCs/>
      <w:i/>
      <w:iCs/>
      <w:spacing w:val="5"/>
    </w:rPr>
  </w:style>
  <w:style w:type="character" w:styleId="UyteHipercze">
    <w:name w:val="FollowedHyperlink"/>
    <w:basedOn w:val="Domylnaczcionkaakapitu"/>
    <w:uiPriority w:val="99"/>
    <w:semiHidden/>
    <w:unhideWhenUsed/>
    <w:rsid w:val="002C25AA"/>
    <w:rPr>
      <w:color w:val="800080" w:themeColor="followedHyperlink"/>
      <w:u w:val="single"/>
    </w:rPr>
  </w:style>
  <w:style w:type="character" w:customStyle="1" w:styleId="Heading1Char">
    <w:name w:val="Heading 1 Char"/>
    <w:basedOn w:val="Domylnaczcionkaakapitu"/>
    <w:uiPriority w:val="9"/>
    <w:rsid w:val="002C25A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sid w:val="002C25A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sid w:val="002C25A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sid w:val="002C25A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sid w:val="002C25A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sid w:val="002C25A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sid w:val="002C25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sid w:val="002C25A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sid w:val="002C25AA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rsid w:val="002C25AA"/>
    <w:pPr>
      <w:spacing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C25AA"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2C25AA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sid w:val="002C25AA"/>
    <w:rPr>
      <w:sz w:val="24"/>
      <w:szCs w:val="24"/>
    </w:rPr>
  </w:style>
  <w:style w:type="character" w:customStyle="1" w:styleId="QuoteChar">
    <w:name w:val="Quote Char"/>
    <w:uiPriority w:val="29"/>
    <w:rsid w:val="002C25AA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25A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sid w:val="002C25AA"/>
    <w:rPr>
      <w:i/>
    </w:rPr>
  </w:style>
  <w:style w:type="paragraph" w:customStyle="1" w:styleId="Header">
    <w:name w:val="Header"/>
    <w:basedOn w:val="Normalny"/>
    <w:link w:val="NagwekZnak"/>
    <w:uiPriority w:val="99"/>
    <w:unhideWhenUsed/>
    <w:rsid w:val="002C25AA"/>
    <w:pPr>
      <w:tabs>
        <w:tab w:val="center" w:pos="7143"/>
        <w:tab w:val="right" w:pos="14287"/>
      </w:tabs>
    </w:pPr>
  </w:style>
  <w:style w:type="character" w:customStyle="1" w:styleId="NagwekZnak">
    <w:name w:val="Nagłówek Znak"/>
    <w:basedOn w:val="Domylnaczcionkaakapitu"/>
    <w:link w:val="Header"/>
    <w:uiPriority w:val="99"/>
    <w:rsid w:val="002C25AA"/>
  </w:style>
  <w:style w:type="paragraph" w:customStyle="1" w:styleId="Footer">
    <w:name w:val="Footer"/>
    <w:basedOn w:val="Normalny"/>
    <w:link w:val="StopkaZnak1"/>
    <w:uiPriority w:val="99"/>
    <w:unhideWhenUsed/>
    <w:rsid w:val="002C25A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omylnaczcionkaakapitu"/>
    <w:uiPriority w:val="99"/>
    <w:rsid w:val="002C25AA"/>
  </w:style>
  <w:style w:type="character" w:customStyle="1" w:styleId="StopkaZnak1">
    <w:name w:val="Stopka Znak1"/>
    <w:link w:val="Footer"/>
    <w:uiPriority w:val="99"/>
    <w:rsid w:val="002C25AA"/>
  </w:style>
  <w:style w:type="table" w:styleId="Tabela-Siatka">
    <w:name w:val="Table Grid"/>
    <w:basedOn w:val="Standardowy"/>
    <w:uiPriority w:val="59"/>
    <w:rsid w:val="002C25AA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Standardowy"/>
    <w:uiPriority w:val="59"/>
    <w:rsid w:val="002C25AA"/>
    <w:pPr>
      <w:spacing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59"/>
    <w:rsid w:val="002C25AA"/>
    <w:pPr>
      <w:spacing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Standardowy"/>
    <w:uiPriority w:val="59"/>
    <w:rsid w:val="002C25AA"/>
    <w:pPr>
      <w:spacing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2C25AA"/>
    <w:pPr>
      <w:spacing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2C25AA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2C25A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5AA"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sid w:val="002C25AA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sid w:val="002C25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5AA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2C25AA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5AA"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rsid w:val="002C25AA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2C25AA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2C25AA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2C25AA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2C25AA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2C25AA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2C25AA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2C25AA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2C25AA"/>
    <w:pPr>
      <w:spacing w:after="57"/>
      <w:ind w:left="2268"/>
    </w:pPr>
  </w:style>
  <w:style w:type="paragraph" w:styleId="Nagwekspisutreci">
    <w:name w:val="TOC Heading"/>
    <w:uiPriority w:val="39"/>
    <w:unhideWhenUsed/>
    <w:rsid w:val="002C25AA"/>
  </w:style>
  <w:style w:type="paragraph" w:styleId="Spisilustracji">
    <w:name w:val="table of figures"/>
    <w:basedOn w:val="Normalny"/>
    <w:next w:val="Normalny"/>
    <w:uiPriority w:val="99"/>
    <w:unhideWhenUsed/>
    <w:rsid w:val="002C25AA"/>
  </w:style>
  <w:style w:type="character" w:customStyle="1" w:styleId="Nagwek1Znak">
    <w:name w:val="Nagłówek 1 Znak"/>
    <w:basedOn w:val="Domylnaczcionkaakapitu"/>
    <w:link w:val="Heading1"/>
    <w:rsid w:val="002C25AA"/>
    <w:rPr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Heading2"/>
    <w:rsid w:val="002C25AA"/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Heading3"/>
    <w:rsid w:val="002C25AA"/>
    <w:rPr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Heading4"/>
    <w:rsid w:val="002C25AA"/>
    <w:rPr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Heading5"/>
    <w:rsid w:val="002C25AA"/>
    <w:rPr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Heading6"/>
    <w:rsid w:val="002C25AA"/>
    <w:rPr>
      <w:b/>
      <w:bCs/>
      <w:lang w:eastAsia="zh-CN"/>
    </w:rPr>
  </w:style>
  <w:style w:type="character" w:customStyle="1" w:styleId="Nagwek7Znak">
    <w:name w:val="Nagłówek 7 Znak"/>
    <w:basedOn w:val="Domylnaczcionkaakapitu"/>
    <w:link w:val="Heading7"/>
    <w:rsid w:val="002C25AA"/>
    <w:rPr>
      <w:b/>
      <w:bCs/>
      <w:lang w:eastAsia="zh-CN"/>
    </w:rPr>
  </w:style>
  <w:style w:type="character" w:customStyle="1" w:styleId="Nagwek8Znak">
    <w:name w:val="Nagłówek 8 Znak"/>
    <w:basedOn w:val="Domylnaczcionkaakapitu"/>
    <w:link w:val="Heading8"/>
    <w:rsid w:val="002C25AA"/>
    <w:rPr>
      <w:b/>
      <w:bCs/>
      <w:lang w:eastAsia="zh-CN"/>
    </w:rPr>
  </w:style>
  <w:style w:type="character" w:customStyle="1" w:styleId="Nagwek9Znak">
    <w:name w:val="Nagłówek 9 Znak"/>
    <w:basedOn w:val="Domylnaczcionkaakapitu"/>
    <w:link w:val="Heading9"/>
    <w:rsid w:val="002C25AA"/>
    <w:rPr>
      <w:b/>
      <w:lang w:eastAsia="zh-CN"/>
    </w:rPr>
  </w:style>
  <w:style w:type="paragraph" w:customStyle="1" w:styleId="Caption">
    <w:name w:val="Caption"/>
    <w:basedOn w:val="Normalny"/>
    <w:qFormat/>
    <w:rsid w:val="002C25AA"/>
    <w:pPr>
      <w:suppressLineNumbers/>
      <w:spacing w:before="120" w:after="120"/>
    </w:pPr>
    <w:rPr>
      <w:rFonts w:cs="Lohit Devanagari"/>
      <w:i/>
      <w:iCs/>
    </w:rPr>
  </w:style>
  <w:style w:type="paragraph" w:styleId="Podtytu">
    <w:name w:val="Subtitle"/>
    <w:basedOn w:val="Normalny"/>
    <w:next w:val="Tekstpodstawowy"/>
    <w:link w:val="PodtytuZnak"/>
    <w:qFormat/>
    <w:rsid w:val="002C25AA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C25AA"/>
    <w:rPr>
      <w:b/>
      <w:sz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5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5AA"/>
    <w:rPr>
      <w:rFonts w:ascii="Calibri" w:eastAsia="Calibri" w:hAnsi="Calibri" w:cs="Calibri"/>
      <w:sz w:val="22"/>
      <w:szCs w:val="22"/>
      <w:lang w:eastAsia="zh-CN"/>
    </w:rPr>
  </w:style>
  <w:style w:type="character" w:styleId="Pogrubienie">
    <w:name w:val="Strong"/>
    <w:qFormat/>
    <w:rsid w:val="002C25AA"/>
    <w:rPr>
      <w:b/>
      <w:bCs/>
    </w:rPr>
  </w:style>
  <w:style w:type="paragraph" w:styleId="Akapitzlist">
    <w:name w:val="List Paragraph"/>
    <w:basedOn w:val="Normalny"/>
    <w:qFormat/>
    <w:rsid w:val="002C25AA"/>
    <w:pPr>
      <w:ind w:left="708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qFormat/>
    <w:rsid w:val="002C25AA"/>
    <w:rPr>
      <w:i/>
      <w:iCs/>
      <w:color w:val="000000"/>
      <w:sz w:val="20"/>
      <w:szCs w:val="20"/>
    </w:rPr>
  </w:style>
  <w:style w:type="character" w:customStyle="1" w:styleId="CytatZnak">
    <w:name w:val="Cytat Znak"/>
    <w:basedOn w:val="Domylnaczcionkaakapitu"/>
    <w:link w:val="Cytat"/>
    <w:rsid w:val="002C25AA"/>
    <w:rPr>
      <w:i/>
      <w:iCs/>
      <w:color w:val="000000"/>
      <w:lang w:eastAsia="zh-CN"/>
    </w:rPr>
  </w:style>
  <w:style w:type="paragraph" w:customStyle="1" w:styleId="Nagwek21">
    <w:name w:val="Nagłówek 21"/>
    <w:basedOn w:val="Normalny"/>
    <w:next w:val="Normalny"/>
    <w:qFormat/>
    <w:rsid w:val="002C25AA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41">
    <w:name w:val="Nagłówek 41"/>
    <w:basedOn w:val="Normalny"/>
    <w:next w:val="Normalny"/>
    <w:qFormat/>
    <w:rsid w:val="002C25AA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semiHidden/>
    <w:rsid w:val="002C25AA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C25AA"/>
    <w:rPr>
      <w:rFonts w:eastAsia="Times New Roman"/>
      <w:sz w:val="24"/>
    </w:rPr>
  </w:style>
  <w:style w:type="paragraph" w:customStyle="1" w:styleId="AbsatzTableFormat">
    <w:name w:val="AbsatzTableFormat"/>
    <w:basedOn w:val="Normalny"/>
    <w:rsid w:val="002C25AA"/>
    <w:rPr>
      <w:rFonts w:ascii="Arial" w:hAnsi="Arial"/>
      <w:sz w:val="22"/>
      <w:szCs w:val="20"/>
    </w:rPr>
  </w:style>
  <w:style w:type="paragraph" w:customStyle="1" w:styleId="Stopka1">
    <w:name w:val="Stopka1"/>
    <w:basedOn w:val="Normalny"/>
    <w:link w:val="StopkaZnak"/>
    <w:unhideWhenUsed/>
    <w:rsid w:val="002C2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1"/>
    <w:rsid w:val="002C25AA"/>
    <w:rPr>
      <w:rFonts w:eastAsia="Times New Roman"/>
      <w:sz w:val="24"/>
      <w:szCs w:val="24"/>
    </w:rPr>
  </w:style>
  <w:style w:type="character" w:customStyle="1" w:styleId="Inne">
    <w:name w:val="Inne_"/>
    <w:basedOn w:val="Domylnaczcionkaakapitu"/>
    <w:link w:val="Inne0"/>
    <w:rsid w:val="002C25AA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rsid w:val="002C25AA"/>
    <w:pPr>
      <w:widowControl w:val="0"/>
      <w:shd w:val="clear" w:color="auto" w:fill="FFFFFF"/>
    </w:pPr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2C25AA"/>
    <w:pPr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25AA"/>
    <w:rPr>
      <w:color w:val="808080"/>
    </w:rPr>
  </w:style>
  <w:style w:type="character" w:customStyle="1" w:styleId="FontStyle128">
    <w:name w:val="Font Style128"/>
    <w:rsid w:val="002C25AA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35">
    <w:name w:val="Style35"/>
    <w:rsid w:val="002C25AA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single" w:sz="4" w:space="0" w:color="000000"/>
      </w:pBdr>
      <w:shd w:val="nil"/>
      <w:spacing w:line="254" w:lineRule="exact"/>
      <w:ind w:left="0" w:firstLine="0"/>
      <w:jc w:val="left"/>
    </w:pPr>
    <w:rPr>
      <w:rFonts w:ascii="Arial Unicode MS" w:eastAsia="Arial Unicode MS" w:hAnsi="Calibri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944</Words>
  <Characters>5668</Characters>
  <Application>Microsoft Office Word</Application>
  <DocSecurity>0</DocSecurity>
  <Lines>47</Lines>
  <Paragraphs>13</Paragraphs>
  <ScaleCrop>false</ScaleCrop>
  <Company/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2024-06-28T05:38:00Z</dcterms:created>
  <dcterms:modified xsi:type="dcterms:W3CDTF">2024-11-14T07:43:00Z</dcterms:modified>
</cp:coreProperties>
</file>