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29544C6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11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2CB5DD5C" w:rsidR="009A2540" w:rsidRPr="009D3A5E" w:rsidRDefault="009A2540" w:rsidP="00537DC8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cz. nr 2 zamówienia, ambulans typ „C           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593EF291" w14:textId="77777777" w:rsidR="009A2540" w:rsidRDefault="009A2540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7D30631" w14:textId="77777777" w:rsidR="009A2540" w:rsidRPr="00CC3909" w:rsidRDefault="009A2540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8KQIAAFA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">
                <v:textbox>
                  <w:txbxContent>
                    <w:p w14:paraId="79D9E92B" w14:textId="2CB5DD5C" w:rsidR="009A2540" w:rsidRPr="009D3A5E" w:rsidRDefault="009A2540" w:rsidP="00537DC8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cz. nr 2 zamówienia, ambulans typ „C           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593EF291" w14:textId="77777777" w:rsidR="009A2540" w:rsidRDefault="009A2540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37D30631" w14:textId="77777777" w:rsidR="009A2540" w:rsidRPr="00CC3909" w:rsidRDefault="009A2540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B13B0E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57F9E8BD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boczne poduszki</w:t>
            </w:r>
            <w:r w:rsidR="00D46293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- kurtyny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bezpieczeństwa</w:t>
            </w:r>
            <w:r w:rsidR="0040393E" w:rsidRPr="00D948E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montowane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44CC381" w:rsidR="00705BE5" w:rsidRDefault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FF5149D" w14:textId="3824A27A" w:rsidR="00913E15" w:rsidRPr="00705BE5" w:rsidRDefault="00705BE5" w:rsidP="00705BE5">
            <w:pPr>
              <w:tabs>
                <w:tab w:val="left" w:pos="7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C01B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4C5C4F73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ne na boki o</w:t>
            </w:r>
            <w:r w:rsidR="00CF49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kąt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CF49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CA62EFE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fabrycznie montowana szyba czołowa podgrzewana elektrycznie</w:t>
            </w:r>
            <w:r w:rsidR="00A94798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, 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niezależnie od systemu nawiewu ciepłego powietrza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–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montowana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1C70EECF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automatyczny, elektryczny system domykania drzwi przesuwnych lewych i prawych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montowany fabrycznie w pojeździe bazowym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77777777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2F1FC1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7D49BAF" w14:textId="77777777" w:rsidTr="00D948EE">
        <w:trPr>
          <w:gridAfter w:val="1"/>
          <w:wAfter w:w="1382" w:type="pct"/>
          <w:trHeight w:val="63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390DA85D" w:rsidR="00857781" w:rsidRPr="00263544" w:rsidRDefault="00857781" w:rsidP="00D4629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="00D462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automatyczna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257F83EC" w:rsidR="00857781" w:rsidRPr="005C3CB2" w:rsidRDefault="00857781" w:rsidP="00D4629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rodzaj</w:t>
            </w:r>
            <w:r w:rsidR="00D4629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/typ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skrzyni biegów 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572B53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572B53">
              <w:rPr>
                <w:rFonts w:ascii="Times New Roman" w:hAnsi="Times New Roman"/>
                <w:b/>
                <w:snapToGrid w:val="0"/>
                <w:color w:val="0033CC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C9A31" w14:textId="35FACC27" w:rsidR="00857781" w:rsidRPr="005C3CB2" w:rsidRDefault="00572B53" w:rsidP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*Wpisać jakie zaoferowano rozwiązanie </w:t>
            </w:r>
          </w:p>
        </w:tc>
      </w:tr>
      <w:tr w:rsidR="00857781" w:rsidRPr="00B13B0E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23899FBA" w:rsidR="00857781" w:rsidRPr="00A0561B" w:rsidRDefault="00857781" w:rsidP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  <w:r w:rsidR="009A254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potwierdzenie w dokumencie producenta: folder, katalog…</w:t>
            </w:r>
          </w:p>
        </w:tc>
      </w:tr>
      <w:tr w:rsidR="00857781" w:rsidRPr="00B13B0E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E8553F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F2F4AF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4DB41209" w:rsidR="009A2540" w:rsidRPr="009D3A5E" w:rsidRDefault="009A2540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 </w:t>
                                  </w:r>
                                  <w:r w:rsidRPr="004A6342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część nr 2 zamówienia, ambulans typ „C”</w:t>
                                  </w:r>
                                </w:p>
                                <w:p w14:paraId="1D23629A" w14:textId="77777777" w:rsidR="009A2540" w:rsidRPr="003815B8" w:rsidRDefault="009A2540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9A2540" w:rsidRDefault="009A2540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">
                      <v:textbox>
                        <w:txbxContent>
                          <w:p w14:paraId="07CB4BB0" w14:textId="4DB41209" w:rsidR="009A2540" w:rsidRPr="009D3A5E" w:rsidRDefault="009A2540" w:rsidP="00537DC8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 </w:t>
                            </w:r>
                            <w:r w:rsidRPr="004A6342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część nr 2 zamówienia, ambulans typ „C”</w:t>
                            </w:r>
                          </w:p>
                          <w:p w14:paraId="1D23629A" w14:textId="77777777" w:rsidR="009A2540" w:rsidRPr="003815B8" w:rsidRDefault="009A2540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9A2540" w:rsidRDefault="009A2540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D948EE">
        <w:trPr>
          <w:gridAfter w:val="1"/>
          <w:wAfter w:w="1382" w:type="pct"/>
          <w:cantSplit/>
          <w:trHeight w:val="158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71686D3B" w:rsidR="00857781" w:rsidRPr="00AA7C1A" w:rsidRDefault="00857781" w:rsidP="00D948EE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zawartymi w rozporządzeniu Ministra Infrastruktury z dnia 31 grudnia 2002 r. w sprawie warunków technicznych pojazdów oraz zakresu ich niezbędnego wyposażenia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9A2540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199D77" w14:textId="476260E8" w:rsidR="00857781" w:rsidRDefault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77777777" w:rsidR="00857781" w:rsidRPr="0082358E" w:rsidRDefault="00857781" w:rsidP="0010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Opis w pkt. 7.6 i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14:paraId="6D9F26A0" w14:textId="77777777" w:rsidTr="009A2540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EA26A4" w14:textId="31F5E6F4" w:rsidR="00857781" w:rsidRPr="0082358E" w:rsidRDefault="00857781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9A254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wraz z podstawą mocującą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6BE0E2" w14:textId="55773F41" w:rsidR="00857781" w:rsidRDefault="009A254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umiejscowienie podstawy mocującej drukarkę</w:t>
            </w:r>
          </w:p>
        </w:tc>
      </w:tr>
      <w:tr w:rsidR="00857781" w:rsidRPr="00B13B0E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77777777"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5FEF10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77777777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03551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13E6042D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sygnalizacji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niezapiętych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alarm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wizualnie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akustycznie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ostrzegać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kierowcę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o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niezpiętym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>zajętym</w:t>
            </w:r>
            <w:proofErr w:type="spellEnd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siedzeniu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– w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jazdy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pojazdu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B13B0E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4464DB5" w:rsidR="00857781" w:rsidRDefault="00857781" w:rsidP="009D3A5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otworu 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kabinie kierowcy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772D4" w14:textId="6C56196E"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  <w:r w:rsidR="00572B5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 xml:space="preserve"> mierzonego od podłogi w kabinie kierowcy</w:t>
            </w:r>
          </w:p>
        </w:tc>
      </w:tr>
      <w:tr w:rsidR="00B22F72" w:rsidRPr="00B13B0E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blokada możliwości jazdy ambulansu przy otwartych drzwiach pomiędzy kabiną kierowcy a przedziałem pacjenta</w:t>
            </w:r>
            <w:r w:rsidR="00411246"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B13B0E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77777777"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7259E26" w14:textId="77777777" w:rsidTr="00D948EE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3C2F22DC" w:rsidR="00857781" w:rsidRDefault="00857781" w:rsidP="00D948E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</w:t>
            </w:r>
            <w:r w:rsidR="00D009E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-10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L)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uchwyty i gniazdo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uniwersalne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dla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: 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o</w:t>
            </w:r>
            <w:r w:rsidR="00D948EE" w:rsidRPr="001C55BC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wysokoś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ci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90 cm – max. 102 cm, 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o 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średnic</w:t>
            </w:r>
            <w:r w:rsidR="00D948EE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y</w:t>
            </w:r>
            <w:r w:rsidR="00D009E4" w:rsidRPr="001C55BC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14 cm max.18 cm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 łatwo rozłączalnymi </w:t>
            </w:r>
            <w:r w:rsidR="00BC4C70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i regulowanymi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zewnątrz pojazdu – rekomendowane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46FB5A" w14:textId="6288A841" w:rsidR="00857781" w:rsidRPr="00D948EE" w:rsidRDefault="00D948EE" w:rsidP="00C172C5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 w:rsidR="00816D96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  <w:r w:rsidR="00C172C5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i umiejscowienie uchwytów</w:t>
            </w:r>
          </w:p>
        </w:tc>
      </w:tr>
      <w:tr w:rsidR="00857781" w:rsidRPr="00B13B0E" w14:paraId="3AABE4D1" w14:textId="77777777" w:rsidTr="008D0AF0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3789EFD6" w:rsidR="00857781" w:rsidRDefault="00857781" w:rsidP="008D0AF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regulowane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bez zaworu LIV lub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BC4C70"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zintegrowanym zaworem LIV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-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dla butli: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o</w:t>
            </w:r>
            <w:r w:rsidR="008D0AF0" w:rsidRPr="001C55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wysokoś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ci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min. 45 cm max.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50 cm, 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            o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średnic</w:t>
            </w:r>
            <w:r w:rsidR="008D0AF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y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min. 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10,2 cm</w:t>
            </w:r>
            <w:r w:rsidR="00BC4C70"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, max. 12,5 cm</w:t>
            </w:r>
            <w:r w:rsidRPr="001C55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959CC4" w14:textId="025D9E52" w:rsidR="00857781" w:rsidRPr="009912C0" w:rsidRDefault="008D0AF0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</w:p>
        </w:tc>
      </w:tr>
      <w:tr w:rsidR="00857781" w14:paraId="2A4B0447" w14:textId="77777777" w:rsidTr="000319ED">
        <w:trPr>
          <w:gridAfter w:val="1"/>
          <w:wAfter w:w="1382" w:type="pct"/>
          <w:cantSplit/>
          <w:trHeight w:val="134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526E4961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</w:t>
            </w:r>
            <w:r w:rsidR="000319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</w:t>
            </w:r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sterowanie dotykowe oraz na 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mikrowyłącznikach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mikrostycznikach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6851A872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</w:t>
            </w:r>
            <w:r w:rsidR="00DC4F1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(kogut) dopuszczona niska belka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41C2B750" w:rsidR="00857781" w:rsidRPr="007E2B43" w:rsidRDefault="008D0AF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77777777"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77777777"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77777777"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74C867F7" w14:textId="77777777" w:rsidTr="001C55BC">
        <w:trPr>
          <w:gridAfter w:val="1"/>
          <w:wAfter w:w="1382" w:type="pct"/>
          <w:cantSplit/>
          <w:trHeight w:val="1515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183A0" w14:textId="65E2A92E" w:rsidR="00B43644" w:rsidRPr="001F5E0C" w:rsidRDefault="00857781" w:rsidP="00BC4C70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B43644" w:rsidRPr="00B436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 oferty złączyć Certyfikat zgodności z </w:t>
            </w:r>
            <w:r w:rsidR="00B43644" w:rsidRPr="00572B5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dyrektywą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D2FBFE4" w:rsidR="00355992" w:rsidRPr="009912C0" w:rsidRDefault="00857781" w:rsidP="00B4364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markę i typ gniazd i panelu</w:t>
            </w:r>
            <w:r w:rsidR="00334642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B13B0E" w14:paraId="79EFE219" w14:textId="77777777" w:rsidTr="00572B53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BCEF9" w14:textId="380FAB8F" w:rsidR="00857781" w:rsidRPr="00FE58AE" w:rsidRDefault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4DBED890" w:rsidR="00857781" w:rsidRPr="001A6056" w:rsidRDefault="00857781" w:rsidP="00BC4C70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</w:t>
            </w:r>
            <w:r w:rsidR="00BC4C70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7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lastRenderedPageBreak/>
              <w:t>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77777777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2EA21087" w:rsidR="00857781" w:rsidRPr="00424A73" w:rsidRDefault="00857781" w:rsidP="00BC4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14:paraId="49E8C786" w14:textId="77777777" w:rsidTr="00B43644">
        <w:trPr>
          <w:gridAfter w:val="1"/>
          <w:wAfter w:w="1382" w:type="pct"/>
          <w:cantSplit/>
          <w:trHeight w:val="16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7FE2A5" w14:textId="3BFDB268" w:rsidR="00857781" w:rsidRPr="00424A73" w:rsidRDefault="00857781" w:rsidP="00B43644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="00956824"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dyrektywą 93/42/EWG</w:t>
            </w:r>
            <w:r w:rsidR="00705637"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  <w:r w:rsidR="00B436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32D4390C" w:rsidR="00334642" w:rsidRPr="00705637" w:rsidRDefault="00857781" w:rsidP="00956824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ależy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załączyć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dokument: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lub deklarację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956824" w:rsidRPr="00572B53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dyrektywą 93/42/EWG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B13B0E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1718DBD5"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średnicę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kółek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8D0AF0" w:rsidRDefault="00857781" w:rsidP="009763DA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*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8D0AF0" w:rsidRDefault="00857781" w:rsidP="00E06B5D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dop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.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obci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ą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b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14:paraId="105AEBEA" w14:textId="77777777" w:rsidTr="00290927">
        <w:trPr>
          <w:gridAfter w:val="1"/>
          <w:wAfter w:w="1382" w:type="pct"/>
          <w:cantSplit/>
          <w:trHeight w:val="175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3B41" w14:textId="20BD9ED9" w:rsidR="00290927" w:rsidRPr="00290927" w:rsidRDefault="00290927" w:rsidP="0029092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laweta z napędem elektrycznym umożliwiająca automatyczny (bez konieczności wykonywania żadnych czynności fizycznych przez personel takich </w:t>
            </w:r>
            <w:proofErr w:type="spellStart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jak:wpychanie</w:t>
            </w:r>
            <w:proofErr w:type="spellEnd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wyciąganie ręczne, </w:t>
            </w:r>
            <w:proofErr w:type="spellStart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itp</w:t>
            </w:r>
            <w:proofErr w:type="spellEnd"/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…),  załadunek i rozładunek  noszy do /z karetki poprze system samoczynnie wciągający i wysuwający nosze, stanowiący element lawety.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Automatyczny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załadunek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wymagać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od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obsługującego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ratownika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zwalniania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odpowiednim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momencie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jakichś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zabezpieczeń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blokad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transporterze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noszy</w:t>
            </w:r>
            <w:proofErr w:type="spellEnd"/>
            <w:r w:rsidRPr="002909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Laweta</w:t>
            </w:r>
            <w:r w:rsidRPr="00290927">
              <w:rPr>
                <w:rFonts w:ascii="Times New Roman" w:hAnsi="Times New Roman"/>
                <w:snapToGrid w:val="0"/>
                <w:color w:val="FF0000"/>
                <w:sz w:val="20"/>
                <w:szCs w:val="20"/>
                <w:lang w:val="pl-PL"/>
              </w:rPr>
              <w:t xml:space="preserve"> 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 – możliwość dojścia do pacjenta z każdej strony przy wsuniętych noszach do przedziału pacjenta,  posiadająca wysuw do tyłu i na zewnątrz z jednoczesnym pochyłem dla łatwego wprowadzenia noszy z transporterem,  </w:t>
            </w:r>
            <w:r w:rsidRP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albo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posiadająca dodatkowy składany najazd pełniący tą funkcję. </w:t>
            </w:r>
            <w:r w:rsidRPr="0029092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przypadkach awaryjnych systemu automatycznego załadunku lub braku zasilania laweta musi umożliwiać ręczne wprowadzenie i wyprowadzenie noszy z ambulansu w jak najkrótszym czasie. </w:t>
            </w:r>
            <w:r w:rsidRPr="00290927">
              <w:rPr>
                <w:rFonts w:ascii="Times New Roman" w:hAnsi="Times New Roman"/>
                <w:bCs/>
                <w:snapToGrid w:val="0"/>
                <w:sz w:val="20"/>
                <w:szCs w:val="20"/>
                <w:lang w:val="pl-PL"/>
              </w:rPr>
              <w:t>Zamontowany system bezwzględnego wyłączenia mechanizmów wciągania i zatrzymania się w przypadku wystąpienia zagrożenia związanego z załadunkiem i wyładunkiem.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BC53F" w14:textId="38947413" w:rsidR="00857781" w:rsidRPr="009912C0" w:rsidRDefault="00290927" w:rsidP="0029092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290927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 xml:space="preserve">*opisać oferowane rozwiązanie </w:t>
            </w:r>
          </w:p>
        </w:tc>
      </w:tr>
      <w:tr w:rsidR="00857781" w:rsidRPr="00B13B0E" w14:paraId="376C810E" w14:textId="77777777" w:rsidTr="008D0AF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43F66A2D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75B88C97" w:rsidR="00857781" w:rsidRPr="00B22F72" w:rsidRDefault="00857781" w:rsidP="001A6056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DBEC6" w14:textId="11F18D4B" w:rsidR="00857781" w:rsidRPr="009912C0" w:rsidRDefault="008D0AF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142F48" w:rsidRPr="00B13B0E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05CF3A6E" w:rsidR="00142F48" w:rsidRPr="002F1FC1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58028DD3" w:rsidR="00142F48" w:rsidRPr="002F1FC1" w:rsidRDefault="00142F48" w:rsidP="00290927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. zestawu noszy </w:t>
            </w:r>
            <w:r w:rsid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oraz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mocowani</w:t>
            </w:r>
            <w:r w:rsidR="0029092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 - lawety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1D32EC6F" w14:textId="77777777" w:rsidTr="00EA7137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62E1674B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7505D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0056E018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max. 72 godz.)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obejmuje: diagnoza, przyjęcie do naprawy lub wymiana na nowe,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142F48" w:rsidRPr="00B13B0E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19801946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max. </w:t>
            </w:r>
            <w:r w:rsidR="00FC14A8"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14</w:t>
            </w:r>
            <w:r w:rsidRPr="001C55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max. czas naprawy gwarancyjnej</w:t>
            </w:r>
          </w:p>
        </w:tc>
      </w:tr>
      <w:tr w:rsidR="00142F48" w:rsidRPr="00B13B0E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zastępczych noszy na czas naprawy trwającej więcej niż 7 dni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142F48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142F48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142F48" w:rsidRPr="002F1FC1" w:rsidRDefault="00142F48" w:rsidP="00142F4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6120B226" w:rsidR="00142F48" w:rsidRPr="002F1FC1" w:rsidRDefault="00142F48" w:rsidP="008D0AF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Zapewnienie bezpłatnych przeglądów zabudowy medycznej oraz sprzętów medycznych w niej zamontowanych –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tym </w:t>
            </w:r>
            <w:proofErr w:type="spellStart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kpl</w:t>
            </w:r>
            <w:proofErr w:type="spellEnd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,. noszy z lawetą, zgodnie z instrukcją fabryczną oraz gwarancją,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całym zaoferowanym okresie gwarancji, w siedzibie użytkownika (Zamawiającego). </w:t>
            </w:r>
            <w:r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Jedynie w przypadkach niemożliwości wykonania 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u w:val="single"/>
                <w:lang w:val="pl-PL" w:eastAsia="pl-PL"/>
              </w:rPr>
              <w:t>naprawy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w siedzibie Zamawiającego</w:t>
            </w:r>
            <w:r w:rsidR="00FC14A8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naprawa w serwisie Wykonawcy</w:t>
            </w:r>
            <w:r w:rsidR="008D0AF0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transport na koszt Wykonawcy</w:t>
            </w:r>
            <w:r w:rsidR="00FC14A8" w:rsidRPr="001C55BC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</w:t>
            </w:r>
            <w:bookmarkStart w:id="0" w:name="_GoBack"/>
            <w:bookmarkEnd w:id="0"/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142F48" w:rsidRDefault="00142F48" w:rsidP="00142F48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142F48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2C68EFA8" w:rsidR="00142F48" w:rsidRDefault="00142F48" w:rsidP="00EA7137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może przekraczać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2-</w:t>
            </w:r>
            <w:r w:rsid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3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osobowego zespołu ratunkowego + jeden pacjent. Kierowca z kategorią prawa jazdy „</w:t>
            </w:r>
            <w:r w:rsid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142F48" w:rsidRPr="00B13B0E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142F48" w:rsidRPr="00666612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142F48" w:rsidRPr="00D21B33" w:rsidRDefault="00142F48" w:rsidP="00142F48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142F48" w:rsidRPr="00D21B3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6AC819D6" w:rsidR="00142F48" w:rsidRPr="00425B55" w:rsidRDefault="00142F48" w:rsidP="008D0AF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202</w:t>
            </w:r>
            <w:r w:rsidR="008D0AF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8D0AF0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4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 i zabudowy jako ambulans</w:t>
            </w:r>
          </w:p>
        </w:tc>
      </w:tr>
      <w:tr w:rsidR="00142F48" w:rsidRPr="00B13B0E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142F48" w:rsidRPr="00B5143C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142F48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142F48" w:rsidRPr="00EE65BD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142F48" w:rsidRPr="00B13B0E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142F48" w:rsidRPr="0010068A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142F48" w:rsidRPr="003B2B4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A4D911A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142F48" w:rsidRPr="0010068A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B4F8A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7420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142F48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142F48" w:rsidRPr="000977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h)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142F48" w:rsidRPr="00F316B7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142F48" w:rsidRPr="00CC4B2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3970633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82B1C" w14:textId="73D59F07" w:rsidR="00142F48" w:rsidRPr="009732C9" w:rsidRDefault="00142F48" w:rsidP="00142F48">
            <w:pPr>
              <w:jc w:val="right"/>
              <w:rPr>
                <w:b/>
                <w:snapToGrid w:val="0"/>
                <w:color w:val="000000"/>
                <w:sz w:val="20"/>
              </w:rPr>
            </w:pPr>
            <w:r w:rsidRPr="009732C9">
              <w:rPr>
                <w:b/>
                <w:snapToGrid w:val="0"/>
                <w:color w:val="000000"/>
                <w:sz w:val="20"/>
              </w:rPr>
              <w:t>15.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AA95D" w14:textId="295C7CB8" w:rsidR="00142F48" w:rsidRPr="009732C9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parametrów podlegających kryterium oceny ofert w powyższych tabelach 5 i 5a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zacienionych na niebiesko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) – 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musi, </w:t>
            </w: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potwierdzenia spełnienia warunku kryterium oceny ofert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EA713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>przesłać razem z ofertą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dokumenty potwierdzające te parametry. </w:t>
            </w:r>
            <w:r w:rsidRPr="00EA71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braku ich złożenia wraz z ofertą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 oferta podlega odrzuceniu art. 107.ust.3.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ustawy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Pzp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0269C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B15EFA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142F48" w:rsidRDefault="00142F48" w:rsidP="00142F4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142F48" w:rsidRPr="00B1125D" w:rsidRDefault="00142F48" w:rsidP="00142F48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 oraz HP 250.</w:t>
            </w:r>
          </w:p>
          <w:p w14:paraId="3353AC99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A353BDC" w14:textId="77777777" w:rsidR="00142F48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tablet, drukarka, GPS – </w:t>
            </w:r>
            <w:r w:rsidRPr="00A73297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14:paraId="3C54D457" w14:textId="77777777" w:rsidR="00142F48" w:rsidRPr="00834F98" w:rsidRDefault="00142F48" w:rsidP="00142F4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142F48" w:rsidRPr="00B13B0E" w14:paraId="45769F7F" w14:textId="77777777" w:rsidTr="00EA7137">
              <w:trPr>
                <w:trHeight w:val="675"/>
              </w:trPr>
              <w:tc>
                <w:tcPr>
                  <w:tcW w:w="426" w:type="dxa"/>
                </w:tcPr>
                <w:p w14:paraId="1D62ED4B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142F48" w:rsidRPr="004E0847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 dotyczące przystosowania do instalacji urządzeń SWD 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142F48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142F48" w:rsidRPr="00B13B0E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142F48" w:rsidRPr="00B13B0E" w14:paraId="7666AF3E" w14:textId="77777777" w:rsidTr="00361FC7">
              <w:tc>
                <w:tcPr>
                  <w:tcW w:w="426" w:type="dxa"/>
                </w:tcPr>
                <w:p w14:paraId="32B4EA6B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142F48" w:rsidRPr="00407FB6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142F48" w:rsidRPr="00834F98" w:rsidRDefault="00142F48" w:rsidP="00142F48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4F0D80D9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ZEBRA L10 – lub GETAC G6: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2EA96511" w14:textId="77777777" w:rsidTr="00361FC7">
              <w:tc>
                <w:tcPr>
                  <w:tcW w:w="426" w:type="dxa"/>
                </w:tcPr>
                <w:p w14:paraId="3C03EA2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640110FA" w:rsidR="00142F48" w:rsidRPr="00834F9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 xml:space="preserve"> (dla GETAC)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(dla ZEBRA)</w:t>
                  </w:r>
                </w:p>
              </w:tc>
              <w:tc>
                <w:tcPr>
                  <w:tcW w:w="1134" w:type="dxa"/>
                </w:tcPr>
                <w:p w14:paraId="77625DE2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142F48" w:rsidRPr="00B13B0E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142F48" w:rsidRDefault="00142F48" w:rsidP="00142F48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362D9C33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A73297">
        <w:rPr>
          <w:rFonts w:ascii="Arial" w:hAnsi="Arial"/>
          <w:snapToGrid w:val="0"/>
          <w:color w:val="000000"/>
          <w:sz w:val="18"/>
          <w:szCs w:val="18"/>
          <w:lang w:val="pl-PL"/>
        </w:rPr>
        <w:t>4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8E3" w14:textId="77777777" w:rsidR="009A2540" w:rsidRDefault="009A2540">
      <w:r>
        <w:separator/>
      </w:r>
    </w:p>
  </w:endnote>
  <w:endnote w:type="continuationSeparator" w:id="0">
    <w:p w14:paraId="68ABBA14" w14:textId="77777777" w:rsidR="009A2540" w:rsidRDefault="009A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F54" w14:textId="77777777" w:rsidR="009A2540" w:rsidRDefault="009A2540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C55BC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737276E8" w14:textId="77777777" w:rsidR="009A2540" w:rsidRDefault="009A25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59A7" w14:textId="77777777" w:rsidR="009A2540" w:rsidRDefault="009A2540">
      <w:r>
        <w:separator/>
      </w:r>
    </w:p>
  </w:footnote>
  <w:footnote w:type="continuationSeparator" w:id="0">
    <w:p w14:paraId="0368159B" w14:textId="77777777" w:rsidR="009A2540" w:rsidRDefault="009A2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2A9" w14:textId="77777777" w:rsidR="009A2540" w:rsidRDefault="009A2540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9A2540" w:rsidRDefault="009A2540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40A8DB0B" w:rsidR="009A2540" w:rsidRDefault="009A2540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7/AMB/2024</w:t>
    </w:r>
    <w:r>
      <w:rPr>
        <w:rFonts w:ascii="Times New Roman" w:hAnsi="Times New Roman"/>
        <w:i/>
        <w:sz w:val="20"/>
        <w:lang w:val="pl-PL"/>
      </w:rPr>
      <w:tab/>
      <w:t xml:space="preserve">  - część nr 2 zamówienia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e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</w:t>
    </w:r>
    <w:r>
      <w:rPr>
        <w:rFonts w:ascii="Times New Roman" w:hAnsi="Times New Roman"/>
        <w:i/>
        <w:sz w:val="20"/>
        <w:szCs w:val="20"/>
        <w:lang w:val="pl-PL"/>
      </w:rPr>
      <w:t>e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2396"/>
    <w:multiLevelType w:val="hybridMultilevel"/>
    <w:tmpl w:val="55448EE4"/>
    <w:lvl w:ilvl="0" w:tplc="1084FF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8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19ED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719E"/>
    <w:rsid w:val="00061BC8"/>
    <w:rsid w:val="00067E7D"/>
    <w:rsid w:val="00072134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2F48"/>
    <w:rsid w:val="0014443C"/>
    <w:rsid w:val="00144DA2"/>
    <w:rsid w:val="0014574D"/>
    <w:rsid w:val="0014593F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55BC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501"/>
    <w:rsid w:val="002366BB"/>
    <w:rsid w:val="00237567"/>
    <w:rsid w:val="00240CFA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0927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A6342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72B53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34F1"/>
    <w:rsid w:val="005A441B"/>
    <w:rsid w:val="005A490D"/>
    <w:rsid w:val="005A72CD"/>
    <w:rsid w:val="005C2B5D"/>
    <w:rsid w:val="005C3CB2"/>
    <w:rsid w:val="005C488E"/>
    <w:rsid w:val="005C60DD"/>
    <w:rsid w:val="005D03FF"/>
    <w:rsid w:val="005D0A79"/>
    <w:rsid w:val="005D3F5B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B657B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05BE5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1E55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0A49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16D96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0AF0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6824"/>
    <w:rsid w:val="00957979"/>
    <w:rsid w:val="009667A0"/>
    <w:rsid w:val="00970566"/>
    <w:rsid w:val="00970782"/>
    <w:rsid w:val="00971249"/>
    <w:rsid w:val="009732C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A2540"/>
    <w:rsid w:val="009B080A"/>
    <w:rsid w:val="009B3637"/>
    <w:rsid w:val="009B76C2"/>
    <w:rsid w:val="009C13A5"/>
    <w:rsid w:val="009C321A"/>
    <w:rsid w:val="009D0483"/>
    <w:rsid w:val="009D3A5E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73297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43644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B06CB"/>
    <w:rsid w:val="00BC1F15"/>
    <w:rsid w:val="00BC270A"/>
    <w:rsid w:val="00BC4C70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3F18"/>
    <w:rsid w:val="00C14890"/>
    <w:rsid w:val="00C16212"/>
    <w:rsid w:val="00C172C5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96A"/>
    <w:rsid w:val="00CF4FE9"/>
    <w:rsid w:val="00CF623D"/>
    <w:rsid w:val="00CF6410"/>
    <w:rsid w:val="00CF689F"/>
    <w:rsid w:val="00CF7EDD"/>
    <w:rsid w:val="00D009D6"/>
    <w:rsid w:val="00D009E4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293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948EE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4F1C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A7137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87091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14A8"/>
    <w:rsid w:val="00FC3EE4"/>
    <w:rsid w:val="00FC4C30"/>
    <w:rsid w:val="00FD06A5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D41D-4C31-4B29-B792-0F56B5D45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5063</Words>
  <Characters>32900</Characters>
  <Application>Microsoft Office Word</Application>
  <DocSecurity>0</DocSecurity>
  <Lines>274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4</cp:revision>
  <cp:lastPrinted>2023-09-05T11:57:00Z</cp:lastPrinted>
  <dcterms:created xsi:type="dcterms:W3CDTF">2024-05-10T06:01:00Z</dcterms:created>
  <dcterms:modified xsi:type="dcterms:W3CDTF">2024-05-10T07:33:00Z</dcterms:modified>
</cp:coreProperties>
</file>