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37A" w:rsidRDefault="0006637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Załącznik nr 1</w:t>
      </w:r>
    </w:p>
    <w:p w:rsidR="0006637A" w:rsidRDefault="0006637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6637A" w:rsidRDefault="0006637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06637A" w:rsidRDefault="0006637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Pakiet 1</w:t>
      </w:r>
    </w:p>
    <w:p w:rsidR="0006637A" w:rsidRDefault="0006637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06637A" w:rsidRDefault="0006637A">
      <w:pPr>
        <w:pStyle w:val="Standard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ZESTAWIENIE PARAMETRÓW GRANICZNYCH (ODCINAJĄCYCH)</w:t>
      </w:r>
    </w:p>
    <w:p w:rsidR="0006637A" w:rsidRDefault="0006637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</w:p>
    <w:p w:rsidR="0006637A" w:rsidRDefault="0006637A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Stymulatory serca proMRI z funkcją resynchronizacji (CRT-P) – 10 szt.</w:t>
      </w:r>
    </w:p>
    <w:p w:rsidR="0006637A" w:rsidRDefault="0006637A">
      <w:pPr>
        <w:pStyle w:val="Standard"/>
        <w:rPr>
          <w:rFonts w:ascii="Calibri" w:hAnsi="Calibri" w:cs="Calibri"/>
          <w:sz w:val="22"/>
          <w:szCs w:val="22"/>
        </w:rPr>
      </w:pPr>
    </w:p>
    <w:p w:rsidR="0006637A" w:rsidRDefault="0006637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Producent/Firma:</w:t>
      </w:r>
    </w:p>
    <w:p w:rsidR="0006637A" w:rsidRDefault="0006637A">
      <w:pPr>
        <w:pStyle w:val="Standard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Nazwa urządzenia:</w:t>
      </w:r>
    </w:p>
    <w:p w:rsidR="0006637A" w:rsidRDefault="0006637A">
      <w:pPr>
        <w:pStyle w:val="Standard"/>
        <w:rPr>
          <w:rFonts w:ascii="Calibri" w:hAnsi="Calibri" w:cs="Calibri"/>
          <w:sz w:val="22"/>
          <w:szCs w:val="22"/>
        </w:rPr>
      </w:pPr>
    </w:p>
    <w:p w:rsidR="0006637A" w:rsidRDefault="0006637A">
      <w:pPr>
        <w:pStyle w:val="Standard"/>
        <w:ind w:right="50"/>
        <w:rPr>
          <w:rFonts w:ascii="Calibri" w:hAnsi="Calibri" w:cs="Calibri"/>
          <w:b/>
          <w:bCs/>
          <w:sz w:val="22"/>
          <w:szCs w:val="22"/>
        </w:rPr>
      </w:pPr>
    </w:p>
    <w:p w:rsidR="0006637A" w:rsidRDefault="0006637A">
      <w:pPr>
        <w:pStyle w:val="Standard"/>
        <w:ind w:right="50"/>
      </w:pPr>
      <w:r>
        <w:rPr>
          <w:rFonts w:ascii="Calibri" w:hAnsi="Calibri" w:cs="Calibri"/>
          <w:b/>
          <w:bCs/>
          <w:sz w:val="22"/>
          <w:szCs w:val="22"/>
        </w:rPr>
        <w:t>UWAGA</w:t>
      </w:r>
      <w:r>
        <w:rPr>
          <w:rFonts w:ascii="Calibri" w:hAnsi="Calibri" w:cs="Calibri"/>
          <w:sz w:val="22"/>
          <w:szCs w:val="22"/>
        </w:rPr>
        <w:t>: Wykonawca wypełniając rubryki trzeciej kolumny powinien wpisać w nie słowa „TAK” lub „NIE” bez podawania wartości liczbowych parametrów technicznych.</w:t>
      </w:r>
    </w:p>
    <w:p w:rsidR="0006637A" w:rsidRDefault="0006637A">
      <w:pPr>
        <w:pStyle w:val="Standard"/>
        <w:ind w:right="50"/>
        <w:rPr>
          <w:rFonts w:ascii="Calibri" w:hAnsi="Calibri" w:cs="Calibri"/>
          <w:sz w:val="22"/>
          <w:szCs w:val="22"/>
        </w:rPr>
      </w:pPr>
    </w:p>
    <w:p w:rsidR="0006637A" w:rsidRDefault="0006637A">
      <w:pPr>
        <w:pStyle w:val="Standard"/>
        <w:ind w:right="50"/>
        <w:rPr>
          <w:rFonts w:ascii="Calibri" w:hAnsi="Calibri" w:cs="Calibri"/>
          <w:sz w:val="22"/>
          <w:szCs w:val="22"/>
        </w:rPr>
      </w:pPr>
    </w:p>
    <w:p w:rsidR="0006637A" w:rsidRDefault="0006637A">
      <w:pPr>
        <w:pStyle w:val="Standard"/>
        <w:ind w:right="50"/>
        <w:rPr>
          <w:rFonts w:ascii="Calibri" w:hAnsi="Calibri" w:cs="Calibri"/>
          <w:sz w:val="22"/>
          <w:szCs w:val="22"/>
        </w:rPr>
      </w:pPr>
    </w:p>
    <w:tbl>
      <w:tblPr>
        <w:tblW w:w="9132" w:type="dxa"/>
        <w:tblInd w:w="-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723"/>
        <w:gridCol w:w="1275"/>
        <w:gridCol w:w="1134"/>
      </w:tblGrid>
      <w:tr w:rsidR="0006637A" w:rsidTr="00F622FC">
        <w:trPr>
          <w:cantSplit/>
          <w:trHeight w:val="855"/>
        </w:trPr>
        <w:tc>
          <w:tcPr>
            <w:tcW w:w="6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Parametry  graniczne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tabs>
                <w:tab w:val="left" w:pos="4962"/>
              </w:tabs>
              <w:ind w:right="-2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Warunek graniczny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6637A" w:rsidRDefault="0006637A">
            <w:pPr>
              <w:pStyle w:val="Standard"/>
              <w:tabs>
                <w:tab w:val="left" w:pos="4962"/>
              </w:tabs>
              <w:ind w:right="-29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Przyznane punkty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Rodzaj stymulacji: DDDR, DDD, AAIR&lt;=&gt;DDDR,AAI&lt;=&gt;DDD, DDIR, DDI, AAIR, AAI, VVIR, VVI, DOO, AOO, VOO, ODO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pkt</w:t>
            </w:r>
          </w:p>
        </w:tc>
      </w:tr>
      <w:tr w:rsidR="0006637A" w:rsidTr="00F622FC">
        <w:trPr>
          <w:trHeight w:val="322"/>
        </w:trPr>
        <w:tc>
          <w:tcPr>
            <w:tcW w:w="6723" w:type="dxa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Automatyczna inicjalizacja po wszczepieniu stymulatora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pkt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Polarność stymulacji – unipolarny, bipolarny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pkt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Polarność czułości  – unipolarny, bipolarny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pkt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Gniazdo podłączenia elektrody LV: możliwość wyboru urządzenia z gniazdem IS1 lub IS4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pkt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top w:val="single" w:sz="4" w:space="0" w:color="00000A"/>
              <w:left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Możliwość zastosowania elektrod </w:t>
            </w:r>
            <w:smartTag w:uri="urn:schemas-microsoft-com:office:smarttags" w:element="metricconverter">
              <w:smartTagPr>
                <w:attr w:name="ProductID" w:val="4,1 F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4,1 F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o aktywnej fiksacji z nieruchomą spiralą bez światła wewnętrznego (Medtronic, Select Secure 3830) oraz zapewnienie takich elektrod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pkt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Kompatybilność z elektrodą  </w:t>
            </w:r>
            <w:smartTag w:uri="urn:schemas-microsoft-com:office:smarttags" w:element="metricconverter">
              <w:smartTagPr>
                <w:attr w:name="ProductID" w:val="4,1 F"/>
              </w:smartTagPr>
              <w:r>
                <w:rPr>
                  <w:rFonts w:ascii="Calibri" w:hAnsi="Calibri" w:cs="Calibri"/>
                  <w:sz w:val="22"/>
                  <w:szCs w:val="22"/>
                </w:rPr>
                <w:t>4,1 F</w:t>
              </w:r>
            </w:smartTag>
            <w:r>
              <w:rPr>
                <w:rFonts w:ascii="Calibri" w:hAnsi="Calibri" w:cs="Calibri"/>
                <w:sz w:val="22"/>
                <w:szCs w:val="22"/>
              </w:rPr>
              <w:t xml:space="preserve"> o aktywnej fiksacji z nieruchomą spiralą bez światła wewnętrznego (Medtronic, Select Secure 3830) oraz zapewnienie gwarancyjne możliwości wykonywania rezonansu magnetycznego takiego układu z tą elektrodą.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 pkt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Zapewnienie przynajmniej 3 programatorów w tym 1 z możliwością śródoperacyjnej kontroli parametrów z możliwością zdalnej kontroli urządzeń, z pełną bezpłatną obsługą serwisową (w przypadku awarii oferent zobowiązuje się do dostarczenia innego programatora na czas naprawy)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 pkt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 przypadku zakończenia produkcji modelu lub pojawienia się nowej generacji urządzenia o identycznych parametrach i nowych opcjach możliwość zamiany urządzenia na nowsze bez zmiany jego ceny.</w:t>
            </w: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</w:p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pkt </w:t>
            </w:r>
          </w:p>
        </w:tc>
      </w:tr>
      <w:tr w:rsidR="0006637A" w:rsidTr="00F622FC">
        <w:trPr>
          <w:trHeight w:val="307"/>
        </w:trPr>
        <w:tc>
          <w:tcPr>
            <w:tcW w:w="672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06637A" w:rsidRDefault="0006637A">
            <w:pPr>
              <w:pStyle w:val="Standard"/>
              <w:tabs>
                <w:tab w:val="left" w:pos="481"/>
              </w:tabs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Książeczka informująca pacjenta o zasadach działania stymulatora, ograniczeniach etc w języku polskim oraz paszport stymulatora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top w:w="0" w:type="dxa"/>
              <w:left w:w="30" w:type="dxa"/>
              <w:bottom w:w="0" w:type="dxa"/>
              <w:right w:w="30" w:type="dxa"/>
            </w:tcMar>
          </w:tcPr>
          <w:p w:rsidR="0006637A" w:rsidRDefault="0006637A">
            <w:pPr>
              <w:jc w:val="center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6637A" w:rsidRDefault="0006637A">
            <w:pPr>
              <w:pStyle w:val="Standard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 pkt</w:t>
            </w:r>
          </w:p>
        </w:tc>
      </w:tr>
    </w:tbl>
    <w:p w:rsidR="0006637A" w:rsidRDefault="0006637A">
      <w:pPr>
        <w:pStyle w:val="Standard"/>
        <w:rPr>
          <w:rFonts w:ascii="Calibri" w:hAnsi="Calibri" w:cs="Calibri"/>
          <w:sz w:val="22"/>
          <w:szCs w:val="22"/>
        </w:rPr>
      </w:pPr>
    </w:p>
    <w:p w:rsidR="0006637A" w:rsidRDefault="0006637A">
      <w:pPr>
        <w:pStyle w:val="Standard"/>
        <w:rPr>
          <w:rFonts w:ascii="Calibri" w:hAnsi="Calibri" w:cs="Calibri"/>
          <w:sz w:val="22"/>
          <w:szCs w:val="22"/>
        </w:rPr>
      </w:pPr>
    </w:p>
    <w:p w:rsidR="0006637A" w:rsidRDefault="0006637A">
      <w:pPr>
        <w:pStyle w:val="Standard"/>
      </w:pPr>
      <w:r>
        <w:rPr>
          <w:rFonts w:ascii="Calibri" w:hAnsi="Calibri" w:cs="Calibri"/>
          <w:sz w:val="22"/>
          <w:szCs w:val="22"/>
        </w:rPr>
        <w:t>Depozyt – 2 sztuki</w:t>
      </w:r>
    </w:p>
    <w:sectPr w:rsidR="0006637A" w:rsidSect="00F622FC">
      <w:pgSz w:w="11906" w:h="16838"/>
      <w:pgMar w:top="1818" w:right="1418" w:bottom="1418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637A" w:rsidRDefault="0006637A" w:rsidP="00F622FC">
      <w:r>
        <w:separator/>
      </w:r>
    </w:p>
  </w:endnote>
  <w:endnote w:type="continuationSeparator" w:id="0">
    <w:p w:rsidR="0006637A" w:rsidRDefault="0006637A" w:rsidP="00F62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637A" w:rsidRDefault="0006637A" w:rsidP="00F622FC">
      <w:r w:rsidRPr="00F622FC">
        <w:rPr>
          <w:color w:val="000000"/>
        </w:rPr>
        <w:separator/>
      </w:r>
    </w:p>
  </w:footnote>
  <w:footnote w:type="continuationSeparator" w:id="0">
    <w:p w:rsidR="0006637A" w:rsidRDefault="0006637A" w:rsidP="00F62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A3E51"/>
    <w:multiLevelType w:val="multilevel"/>
    <w:tmpl w:val="DD16269C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2FC"/>
    <w:rsid w:val="0006637A"/>
    <w:rsid w:val="001156C5"/>
    <w:rsid w:val="0052575E"/>
    <w:rsid w:val="00616522"/>
    <w:rsid w:val="00AC2253"/>
    <w:rsid w:val="00E548D9"/>
    <w:rsid w:val="00ED2559"/>
    <w:rsid w:val="00F622FC"/>
    <w:rsid w:val="00F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2FC"/>
    <w:pPr>
      <w:widowControl w:val="0"/>
      <w:suppressAutoHyphens/>
      <w:autoSpaceDN w:val="0"/>
      <w:textAlignment w:val="baseline"/>
    </w:pPr>
    <w:rPr>
      <w:kern w:val="3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F622FC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Heading">
    <w:name w:val="Heading"/>
    <w:basedOn w:val="Standard"/>
    <w:next w:val="Textbody"/>
    <w:uiPriority w:val="99"/>
    <w:rsid w:val="00F622F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F622FC"/>
    <w:pPr>
      <w:spacing w:after="120"/>
    </w:pPr>
  </w:style>
  <w:style w:type="paragraph" w:styleId="List">
    <w:name w:val="List"/>
    <w:basedOn w:val="Textbody"/>
    <w:uiPriority w:val="99"/>
    <w:rsid w:val="00F622FC"/>
    <w:rPr>
      <w:rFonts w:cs="Mangal"/>
    </w:rPr>
  </w:style>
  <w:style w:type="paragraph" w:customStyle="1" w:styleId="Caption1">
    <w:name w:val="Caption1"/>
    <w:basedOn w:val="Standard"/>
    <w:uiPriority w:val="99"/>
    <w:rsid w:val="00F622FC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uiPriority w:val="99"/>
    <w:rsid w:val="00F622FC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Textbody"/>
    <w:uiPriority w:val="99"/>
    <w:rsid w:val="00F622FC"/>
    <w:pPr>
      <w:keepNext/>
      <w:ind w:left="360"/>
      <w:outlineLvl w:val="0"/>
    </w:pPr>
    <w:rPr>
      <w:sz w:val="28"/>
      <w:szCs w:val="28"/>
      <w:u w:val="single"/>
    </w:rPr>
  </w:style>
  <w:style w:type="paragraph" w:styleId="BalloonText">
    <w:name w:val="Balloon Text"/>
    <w:basedOn w:val="Standard"/>
    <w:link w:val="BalloonTextChar"/>
    <w:uiPriority w:val="99"/>
    <w:rsid w:val="00F622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A46"/>
    <w:rPr>
      <w:rFonts w:ascii="Times New Roman" w:hAnsi="Times New Roman"/>
      <w:kern w:val="3"/>
      <w:sz w:val="0"/>
      <w:szCs w:val="0"/>
    </w:rPr>
  </w:style>
  <w:style w:type="paragraph" w:customStyle="1" w:styleId="TableContents">
    <w:name w:val="Table Contents"/>
    <w:basedOn w:val="Standard"/>
    <w:uiPriority w:val="99"/>
    <w:rsid w:val="00F622FC"/>
    <w:pPr>
      <w:suppressLineNumbers/>
    </w:pPr>
  </w:style>
  <w:style w:type="paragraph" w:customStyle="1" w:styleId="HeaderandFooter">
    <w:name w:val="Header and Footer"/>
    <w:basedOn w:val="Standard"/>
    <w:uiPriority w:val="99"/>
    <w:rsid w:val="00F622FC"/>
    <w:pPr>
      <w:suppressLineNumbers/>
      <w:tabs>
        <w:tab w:val="center" w:pos="4819"/>
        <w:tab w:val="right" w:pos="9638"/>
      </w:tabs>
    </w:pPr>
  </w:style>
  <w:style w:type="paragraph" w:customStyle="1" w:styleId="Header1">
    <w:name w:val="Header1"/>
    <w:basedOn w:val="Standard"/>
    <w:uiPriority w:val="99"/>
    <w:rsid w:val="00F622FC"/>
    <w:pPr>
      <w:suppressLineNumbers/>
      <w:tabs>
        <w:tab w:val="center" w:pos="4535"/>
        <w:tab w:val="right" w:pos="9070"/>
      </w:tabs>
    </w:pPr>
  </w:style>
  <w:style w:type="paragraph" w:customStyle="1" w:styleId="TableHeading">
    <w:name w:val="Table Heading"/>
    <w:basedOn w:val="TableContents"/>
    <w:uiPriority w:val="99"/>
    <w:rsid w:val="00F622FC"/>
    <w:pPr>
      <w:jc w:val="center"/>
    </w:pPr>
    <w:rPr>
      <w:b/>
      <w:bCs/>
    </w:rPr>
  </w:style>
  <w:style w:type="character" w:customStyle="1" w:styleId="Nagwek1Znak">
    <w:name w:val="Nagłówek 1 Znak"/>
    <w:basedOn w:val="DefaultParagraphFont"/>
    <w:uiPriority w:val="99"/>
    <w:rsid w:val="00F622FC"/>
    <w:rPr>
      <w:rFonts w:ascii="Times New Roman" w:hAnsi="Times New Roman" w:cs="Times New Roman"/>
      <w:sz w:val="28"/>
      <w:szCs w:val="28"/>
      <w:u w:val="single"/>
      <w:lang w:eastAsia="pl-PL"/>
    </w:rPr>
  </w:style>
  <w:style w:type="character" w:customStyle="1" w:styleId="TekstdymkaZnak">
    <w:name w:val="Tekst dymka Znak"/>
    <w:basedOn w:val="DefaultParagraphFont"/>
    <w:uiPriority w:val="99"/>
    <w:rsid w:val="00F622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22F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4A46"/>
    <w:rPr>
      <w:kern w:val="3"/>
      <w:sz w:val="20"/>
      <w:szCs w:val="20"/>
    </w:rPr>
  </w:style>
  <w:style w:type="character" w:customStyle="1" w:styleId="NagwekZnak">
    <w:name w:val="Nagłówek Znak"/>
    <w:basedOn w:val="DefaultParagraphFont"/>
    <w:uiPriority w:val="99"/>
    <w:rsid w:val="00F622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622F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C4A46"/>
    <w:rPr>
      <w:kern w:val="3"/>
      <w:sz w:val="20"/>
      <w:szCs w:val="20"/>
    </w:rPr>
  </w:style>
  <w:style w:type="character" w:customStyle="1" w:styleId="StopkaZnak">
    <w:name w:val="Stopka Znak"/>
    <w:basedOn w:val="DefaultParagraphFont"/>
    <w:uiPriority w:val="99"/>
    <w:rsid w:val="00F622FC"/>
    <w:rPr>
      <w:rFonts w:cs="Times New Roman"/>
    </w:rPr>
  </w:style>
  <w:style w:type="paragraph" w:styleId="EndnoteText">
    <w:name w:val="endnote text"/>
    <w:basedOn w:val="Normal"/>
    <w:link w:val="EndnoteTextChar"/>
    <w:uiPriority w:val="99"/>
    <w:rsid w:val="00F622FC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4A46"/>
    <w:rPr>
      <w:kern w:val="3"/>
      <w:sz w:val="20"/>
      <w:szCs w:val="20"/>
    </w:rPr>
  </w:style>
  <w:style w:type="character" w:customStyle="1" w:styleId="TekstprzypisukocowegoZnak">
    <w:name w:val="Tekst przypisu końcowego Znak"/>
    <w:basedOn w:val="DefaultParagraphFont"/>
    <w:uiPriority w:val="99"/>
    <w:rsid w:val="00F622FC"/>
    <w:rPr>
      <w:rFonts w:cs="Times New Roman"/>
    </w:rPr>
  </w:style>
  <w:style w:type="character" w:styleId="EndnoteReference">
    <w:name w:val="endnote reference"/>
    <w:basedOn w:val="DefaultParagraphFont"/>
    <w:uiPriority w:val="99"/>
    <w:rsid w:val="00F622FC"/>
    <w:rPr>
      <w:rFonts w:cs="Times New Roman"/>
      <w:position w:val="0"/>
      <w:vertAlign w:val="superscript"/>
    </w:rPr>
  </w:style>
  <w:style w:type="numbering" w:customStyle="1" w:styleId="WWNum1">
    <w:name w:val="WWNum1"/>
    <w:rsid w:val="00EC4A4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287</Words>
  <Characters>1728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HP</cp:lastModifiedBy>
  <cp:revision>5</cp:revision>
  <cp:lastPrinted>2020-03-11T09:23:00Z</cp:lastPrinted>
  <dcterms:created xsi:type="dcterms:W3CDTF">2022-01-03T14:03:00Z</dcterms:created>
  <dcterms:modified xsi:type="dcterms:W3CDTF">2022-01-04T11:28:00Z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oem</vt:lpwstr>
  </property>
  <property fmtid="{D5CDD505-2E9C-101B-9397-08002B2CF9AE}" pid="4" name="DocSecurity">
    <vt:r8>4.35808610753884E-292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