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74" w:rsidRDefault="00A86974" w:rsidP="00A86974">
      <w:pPr>
        <w:spacing w:line="360" w:lineRule="auto"/>
        <w:jc w:val="center"/>
        <w:rPr>
          <w:rFonts w:eastAsia="Arial"/>
          <w:b/>
          <w:sz w:val="32"/>
          <w:u w:val="single"/>
        </w:rPr>
      </w:pPr>
      <w:r>
        <w:rPr>
          <w:rFonts w:eastAsia="Arial"/>
          <w:b/>
          <w:sz w:val="28"/>
          <w:u w:val="single"/>
        </w:rPr>
        <w:t>OPIS PRZEDMIOTU ZAMÓWIENIA</w:t>
      </w:r>
    </w:p>
    <w:p w:rsidR="00A86974" w:rsidRDefault="00A86974" w:rsidP="00A86974">
      <w:pPr>
        <w:pStyle w:val="Nagwek1"/>
        <w:ind w:left="426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Przedmiot zamówienia</w:t>
      </w:r>
    </w:p>
    <w:p w:rsidR="00A86974" w:rsidRDefault="00A86974" w:rsidP="00A86974">
      <w:pPr>
        <w:pStyle w:val="Akapitzlist"/>
        <w:ind w:left="425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Przedmiotem zamówienia jest utworzenie Pracowni odnawialnych źródeł energii w Akademii Marynarki Wojennej. Pracownia będzie utworzona w oparciu o funkcjonujące pomieszczenie dydaktyczne na Wydziale Dowodzenia i Operacji Morskich. Utworzeniu pracowni będzie polegało na wyposażeniu sali w symulatory 3D służące do projektowania systemów odnawialnych źródeł energii, bilansowania zapotrzebowania energetycznego obiektów (budynków), zainstalowania w sali modeli podglądowych urządzeń i systemów do pozyskiwania energii odnawialnej, a także dostosowanie infrastruktury sali do potrzeb pracowni i </w:t>
      </w:r>
      <w:proofErr w:type="gramStart"/>
      <w:r>
        <w:rPr>
          <w:rFonts w:ascii="Times New Roman" w:hAnsi="Times New Roman"/>
          <w:b/>
          <w:bCs/>
          <w:lang w:val="pl-PL"/>
        </w:rPr>
        <w:t>urządzeń</w:t>
      </w:r>
      <w:proofErr w:type="gramEnd"/>
      <w:r>
        <w:rPr>
          <w:rFonts w:ascii="Times New Roman" w:hAnsi="Times New Roman"/>
          <w:b/>
          <w:bCs/>
          <w:lang w:val="pl-PL"/>
        </w:rPr>
        <w:t xml:space="preserve"> w które ma zostać wyposażona.</w:t>
      </w:r>
    </w:p>
    <w:p w:rsidR="00A86974" w:rsidRDefault="00A86974" w:rsidP="00A86974">
      <w:pPr>
        <w:pStyle w:val="Nagwek1"/>
        <w:spacing w:after="24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Szczegółowy opis przedmiotu zamówienia</w:t>
      </w:r>
    </w:p>
    <w:p w:rsidR="00A86974" w:rsidRDefault="00A86974" w:rsidP="00A86974">
      <w:pPr>
        <w:spacing w:line="276" w:lineRule="auto"/>
        <w:ind w:left="3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Przedmiot zamówienia obejmuje:</w:t>
      </w:r>
    </w:p>
    <w:p w:rsidR="00A86974" w:rsidRDefault="00A86974" w:rsidP="00A86974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dostawę zintegrowanego oprogramowania specjalistycznego do symulacji działań z zakresu modelowania oraz projektowania systemów odnawialnych źródeł energii na wybranych modelach obiektów (domów jednorodzinnych w aglomeracji miejskiej i wiejskiej), bilansowania zapotrzebowania energetycznego obiektów oraz wizualizacji działań projektowych.</w:t>
      </w:r>
    </w:p>
    <w:p w:rsidR="00A86974" w:rsidRDefault="00A86974" w:rsidP="00A86974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dostawę sprzętu komputerowego, na którym zostanie zainstalowane oprogramowanie specjalistyczne i umożliwiające optymalną wizualizację prowadzonych symulacji.</w:t>
      </w:r>
    </w:p>
    <w:p w:rsidR="00A86974" w:rsidRDefault="00A86974" w:rsidP="00A86974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dostawę tablic laboratoryjnych przedstawiających działanie poszczególnych systemów i urządzeń do pozyskiwania, przetwarzania i magazynowania energii pozyskiwanej ze źródeł odnawialnych oraz makiety poglądowej przedstawiającej wykorzystanie urządzeń OZE w obiekcie</w:t>
      </w:r>
    </w:p>
    <w:p w:rsidR="00A86974" w:rsidRDefault="00A86974" w:rsidP="00A86974">
      <w:pPr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dostosowanie infrastruktury sali dydaktycznej do potrzeb nowo tworzonej pracowni (blaty robocze, krzesła laboratoryjne, urządzenia do wizualizacji, infrastruktura teleinformatyczna).     </w:t>
      </w:r>
    </w:p>
    <w:p w:rsidR="00A86974" w:rsidRDefault="00A86974" w:rsidP="00A86974">
      <w:pPr>
        <w:spacing w:line="360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spacing w:line="276" w:lineRule="auto"/>
        <w:ind w:left="426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Zintegrowane oprogramowanie specjalistyczne powinno zapewnić możliwość realizacji przez szkolonych przygotowanych scenariuszy zadań z zakresu modelowania, projektowania oraz przeprowadzania bilansu zapotrzebowania energetycznego obiektów zgodnie ze scenariuszami stanowiącymi załączniki do niniejszego dokumentu. Symulator powinien spełniać również następujące wymagania i funkcje użytkowe: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>zostanie przygotowany w technologii 3D (trzech wymiarów);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>będzie dostępny przez przeglądarkę internetową;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 w:rsidRPr="00B11DA8">
        <w:rPr>
          <w:rFonts w:ascii="Times New Roman" w:eastAsia="Times New Roman" w:hAnsi="Times New Roman"/>
          <w:color w:val="1B1D22"/>
          <w:spacing w:val="-2"/>
          <w:highlight w:val="white"/>
          <w:lang w:val="pl-PL"/>
        </w:rPr>
        <w:t>będzie skorelowany ze Zintegrowaną Interaktywną Platformą Szkoleniową (ZIPS) zainstalowaną u Zamawiającego;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 xml:space="preserve">będzie posiadać edytor umożliwiający osobie </w:t>
      </w:r>
      <w:proofErr w:type="gramStart"/>
      <w:r>
        <w:rPr>
          <w:rFonts w:ascii="Times New Roman" w:eastAsia="SimSun" w:hAnsi="Times New Roman"/>
          <w:lang w:val="pl-PL" w:eastAsia="zh-CN"/>
        </w:rPr>
        <w:t>nie posiadającej</w:t>
      </w:r>
      <w:proofErr w:type="gramEnd"/>
      <w:r>
        <w:rPr>
          <w:rFonts w:ascii="Times New Roman" w:eastAsia="SimSun" w:hAnsi="Times New Roman"/>
          <w:lang w:val="pl-PL" w:eastAsia="zh-CN"/>
        </w:rPr>
        <w:t xml:space="preserve"> wiedzy technicznej na tworzenie wariantów symulacji bilansowania zapotrzebowania energetycznego na bazie domu jednorodzinnego z wykorzystaniem odnawialnych źródeł energii;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 xml:space="preserve">pozwoli na pobudzenie kreatywności ćwiczących w zakresie bilansowania zapotrzebowania energetycznego wybranego obiektu w oparciu o wiedzę na temat urządzeń i </w:t>
      </w:r>
      <w:proofErr w:type="gramStart"/>
      <w:r>
        <w:rPr>
          <w:rFonts w:ascii="Times New Roman" w:eastAsia="SimSun" w:hAnsi="Times New Roman"/>
          <w:lang w:val="pl-PL" w:eastAsia="zh-CN"/>
        </w:rPr>
        <w:t>systemów  OZE</w:t>
      </w:r>
      <w:proofErr w:type="gramEnd"/>
      <w:r>
        <w:rPr>
          <w:rFonts w:ascii="Times New Roman" w:eastAsia="SimSun" w:hAnsi="Times New Roman"/>
          <w:lang w:val="pl-PL" w:eastAsia="zh-CN"/>
        </w:rPr>
        <w:t xml:space="preserve"> oraz ich wykorzystania;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 xml:space="preserve">działanie oprogramowania będzie oparte na zasadach gry, w której zadaniem osoby szkolonej (uczestnika gry) będzie optymalne zbilansowanie zapotrzebowania </w:t>
      </w:r>
      <w:r>
        <w:rPr>
          <w:rFonts w:ascii="Times New Roman" w:eastAsia="SimSun" w:hAnsi="Times New Roman"/>
          <w:lang w:val="pl-PL" w:eastAsia="zh-CN"/>
        </w:rPr>
        <w:lastRenderedPageBreak/>
        <w:t>energetycznego obiektu, przy wykorzystaniu elementu inwestycji oraz zależności finansowych pomiędzy wprowadzanymi rozwiązaniami innowacyjnymi w obiekcie.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 xml:space="preserve">podczas realizacji scenariusza „świat 3D” widok będzie z lotu ptaka </w:t>
      </w:r>
    </w:p>
    <w:p w:rsidR="00A86974" w:rsidRDefault="00A86974" w:rsidP="00A86974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 xml:space="preserve">pozwoli użytkownikowi na wstępne określenie i zamodelowanie środowiska obiektu (domu) w oparciu, o który będzie prowadzone ćwiczenie tj. ustalenie: </w:t>
      </w:r>
    </w:p>
    <w:p w:rsidR="00A86974" w:rsidRDefault="00A86974" w:rsidP="00A86974">
      <w:pPr>
        <w:numPr>
          <w:ilvl w:val="0"/>
          <w:numId w:val="4"/>
        </w:numPr>
        <w:spacing w:after="200" w:line="276" w:lineRule="auto"/>
        <w:ind w:left="156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eastAsia="zh-CN"/>
        </w:rPr>
        <w:t>powierzchni mieszkalnej (kubatury budynku)</w:t>
      </w:r>
      <w:r>
        <w:rPr>
          <w:rFonts w:eastAsia="SimSun"/>
          <w:sz w:val="20"/>
          <w:szCs w:val="20"/>
          <w:lang w:eastAsia="zh-CN"/>
        </w:rPr>
        <w:t>;</w:t>
      </w:r>
    </w:p>
    <w:p w:rsidR="00A86974" w:rsidRDefault="00A86974" w:rsidP="00A86974">
      <w:pPr>
        <w:numPr>
          <w:ilvl w:val="0"/>
          <w:numId w:val="4"/>
        </w:numPr>
        <w:spacing w:after="200" w:line="276" w:lineRule="auto"/>
        <w:ind w:left="156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eastAsia="zh-CN"/>
        </w:rPr>
        <w:t>liczby mieszkańców (użytkowników)</w:t>
      </w:r>
      <w:r>
        <w:rPr>
          <w:rFonts w:eastAsia="SimSun"/>
          <w:sz w:val="20"/>
          <w:szCs w:val="20"/>
          <w:lang w:eastAsia="zh-CN"/>
        </w:rPr>
        <w:t>;</w:t>
      </w:r>
    </w:p>
    <w:p w:rsidR="00A86974" w:rsidRDefault="00A86974" w:rsidP="00A86974">
      <w:pPr>
        <w:numPr>
          <w:ilvl w:val="0"/>
          <w:numId w:val="4"/>
        </w:numPr>
        <w:spacing w:after="200" w:line="276" w:lineRule="auto"/>
        <w:ind w:left="156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eastAsia="zh-CN"/>
        </w:rPr>
        <w:t>parametrów (elementów) termoizolacji budynku</w:t>
      </w:r>
      <w:r>
        <w:rPr>
          <w:rFonts w:eastAsia="SimSun"/>
          <w:sz w:val="20"/>
          <w:szCs w:val="20"/>
          <w:lang w:eastAsia="zh-CN"/>
        </w:rPr>
        <w:t>;</w:t>
      </w:r>
    </w:p>
    <w:p w:rsidR="00A86974" w:rsidRDefault="00A86974" w:rsidP="00A86974">
      <w:pPr>
        <w:numPr>
          <w:ilvl w:val="0"/>
          <w:numId w:val="4"/>
        </w:numPr>
        <w:spacing w:after="200" w:line="276" w:lineRule="auto"/>
        <w:ind w:left="156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eastAsia="zh-CN"/>
        </w:rPr>
        <w:t>szacowania kosztu inwestycji przeznaczonego na modernizację obiektu</w:t>
      </w:r>
      <w:r>
        <w:rPr>
          <w:rFonts w:eastAsia="SimSun"/>
          <w:sz w:val="20"/>
          <w:szCs w:val="20"/>
          <w:lang w:eastAsia="zh-CN"/>
        </w:rPr>
        <w:t>;</w:t>
      </w:r>
    </w:p>
    <w:p w:rsidR="00A86974" w:rsidRDefault="00A86974" w:rsidP="00A86974">
      <w:pPr>
        <w:pStyle w:val="Akapitzlist"/>
        <w:numPr>
          <w:ilvl w:val="0"/>
          <w:numId w:val="4"/>
        </w:numPr>
        <w:ind w:left="1560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>konfiguracji urządzeń OZE, które będą wykorzystane do zmniejszenia zużycia konwencjonalnej energii elektrycznej.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SimSun" w:hAnsi="Times New Roman"/>
          <w:lang w:val="pl-PL" w:eastAsia="zh-CN"/>
        </w:rPr>
        <w:t>będzie obsługiwał, co najmniej 5 scenariuszy ćwiczeń stanowiących załączniki do niniejszego OPZ;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 xml:space="preserve">umożliwi definiowanie podstawowych parametrów środowiska szkoleniowego, 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umożliwi, w zależności od potrzeb, przystosowanie systemu symulatora do szkoleń dla pojedynczych użytkowników lub dla grup 2-3 osobowych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realizację zadań określonych w harmonogramie scenariusza szkoleniowego,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definiowanie lokalizacji obszaru,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definiowanie obiektów własnych – np. zmodyfikowanych urządzeń OZE,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podgląd ekranu każdego stanowiska przez instruktora na pulpicie instruktora,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wyświetlenie listy oczekiwanych, spełnionych oraz zrealizowanych zadań i zachowań uczestników ćwiczenia;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udzielanie zdalnej pomocy (wsparcia) konkretnej grupie lub uczestnikowi ćwiczenia,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wyświetlenie podsumowania aktywności poszczególnych uczestników ćwiczenia w symulacji,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wyświetlenie zestawienia czynności prawidłowo i nieprawidłowo wykonanych przez uczestników ćwiczenia,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zapewni możliwości oceny na podstawie wykonanych czynności,</w:t>
      </w:r>
    </w:p>
    <w:p w:rsidR="00A86974" w:rsidRDefault="00A86974" w:rsidP="00A86974">
      <w:pPr>
        <w:pStyle w:val="Akapitzlist"/>
        <w:numPr>
          <w:ilvl w:val="0"/>
          <w:numId w:val="5"/>
        </w:numPr>
        <w:ind w:left="1276"/>
        <w:jc w:val="both"/>
        <w:rPr>
          <w:rFonts w:ascii="Times New Roman" w:eastAsia="SimSun" w:hAnsi="Times New Roman"/>
          <w:lang w:val="pl-PL" w:eastAsia="zh-CN"/>
        </w:rPr>
      </w:pPr>
      <w:r>
        <w:rPr>
          <w:rFonts w:ascii="Times New Roman" w:eastAsia="Arial" w:hAnsi="Times New Roman"/>
          <w:lang w:val="pl-PL"/>
        </w:rPr>
        <w:t>umożliwi zapis oceny każdego uczestnika ćwiczenia po przeprowadzonym podsumowaniu</w:t>
      </w:r>
    </w:p>
    <w:p w:rsidR="00A86974" w:rsidRDefault="00A86974" w:rsidP="00A86974">
      <w:pPr>
        <w:pStyle w:val="Nagwek1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Sprzęt komputerowy i wyposażenie dodatkowe sali dydaktycznej zapewniające efektywne szkolenie</w:t>
      </w:r>
    </w:p>
    <w:p w:rsidR="00A86974" w:rsidRDefault="00A86974" w:rsidP="00A86974">
      <w:pPr>
        <w:spacing w:line="360" w:lineRule="auto"/>
        <w:ind w:left="426"/>
        <w:jc w:val="both"/>
        <w:rPr>
          <w:rFonts w:eastAsia="Arial"/>
          <w:sz w:val="22"/>
          <w:szCs w:val="22"/>
          <w:highlight w:val="white"/>
        </w:rPr>
      </w:pPr>
      <w:r>
        <w:rPr>
          <w:rFonts w:eastAsia="Arial"/>
          <w:sz w:val="22"/>
          <w:szCs w:val="22"/>
        </w:rPr>
        <w:t>Elementem modyfikacji bazy szkoleniowej jest dostarczenie sprzętu komputerowego wraz z konfiguracją oprogramowania.</w:t>
      </w:r>
    </w:p>
    <w:p w:rsidR="00A86974" w:rsidRDefault="00A86974" w:rsidP="00A86974">
      <w:pPr>
        <w:spacing w:line="360" w:lineRule="auto"/>
        <w:ind w:left="426"/>
        <w:jc w:val="both"/>
        <w:rPr>
          <w:rFonts w:eastAsia="Arial"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Modyfikacja sprzętu komputerowego i wyposażenia dodatkowego sali dydaktycznej powinna obejmować: </w:t>
      </w:r>
    </w:p>
    <w:p w:rsidR="00A86974" w:rsidRDefault="00A86974" w:rsidP="00A86974">
      <w:pPr>
        <w:pStyle w:val="Akapitzlist1"/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/>
        </w:rPr>
        <w:t xml:space="preserve">10 x komputerowych stacjonarnych stanowisk szkolono-treningowych </w:t>
      </w:r>
      <w:r>
        <w:rPr>
          <w:rFonts w:ascii="Times New Roman" w:eastAsia="Arial" w:hAnsi="Times New Roman"/>
          <w:lang w:val="pl-PL"/>
        </w:rPr>
        <w:t xml:space="preserve">stacja robocza o </w:t>
      </w:r>
      <w:proofErr w:type="gramStart"/>
      <w:r>
        <w:rPr>
          <w:rFonts w:ascii="Times New Roman" w:eastAsia="Arial" w:hAnsi="Times New Roman"/>
          <w:lang w:val="pl-PL"/>
        </w:rPr>
        <w:t>minimalnych  parametrach</w:t>
      </w:r>
      <w:proofErr w:type="gramEnd"/>
      <w:r>
        <w:rPr>
          <w:rFonts w:ascii="Times New Roman" w:eastAsia="Arial" w:hAnsi="Times New Roman"/>
          <w:lang w:val="pl-PL"/>
        </w:rPr>
        <w:t>: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procesor: porównywalny do </w:t>
      </w:r>
      <w:proofErr w:type="spellStart"/>
      <w:r>
        <w:rPr>
          <w:rFonts w:ascii="Times New Roman" w:eastAsia="Arial" w:hAnsi="Times New Roman"/>
          <w:lang w:val="pl-PL"/>
        </w:rPr>
        <w:t>intel</w:t>
      </w:r>
      <w:proofErr w:type="spellEnd"/>
      <w:r>
        <w:rPr>
          <w:rFonts w:ascii="Times New Roman" w:eastAsia="Arial" w:hAnsi="Times New Roman"/>
          <w:lang w:val="pl-PL"/>
        </w:rPr>
        <w:t xml:space="preserve"> </w:t>
      </w:r>
      <w:proofErr w:type="spellStart"/>
      <w:r>
        <w:rPr>
          <w:rFonts w:ascii="Times New Roman" w:eastAsia="Arial" w:hAnsi="Times New Roman"/>
          <w:lang w:val="pl-PL"/>
        </w:rPr>
        <w:t>Core</w:t>
      </w:r>
      <w:proofErr w:type="spellEnd"/>
      <w:r>
        <w:rPr>
          <w:rFonts w:ascii="Times New Roman" w:eastAsia="Arial" w:hAnsi="Times New Roman"/>
          <w:lang w:val="pl-PL"/>
        </w:rPr>
        <w:t xml:space="preserve"> i7 13 gen.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lastRenderedPageBreak/>
        <w:t>RAM: 16 GB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dysk: 512GB SSD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karta graficzna: </w:t>
      </w:r>
      <w:r w:rsidRPr="00A86974">
        <w:rPr>
          <w:rFonts w:ascii="Times New Roman" w:eastAsia="Arial" w:hAnsi="Times New Roman"/>
          <w:b/>
          <w:lang w:val="pl-PL"/>
        </w:rPr>
        <w:t>rodzaj</w:t>
      </w:r>
      <w:r>
        <w:rPr>
          <w:rFonts w:ascii="Times New Roman" w:eastAsia="Arial" w:hAnsi="Times New Roman"/>
          <w:lang w:val="pl-PL"/>
        </w:rPr>
        <w:t xml:space="preserve"> pamięci GDDR 5, ilość pamięci RAM 4GB  </w:t>
      </w:r>
    </w:p>
    <w:p w:rsidR="00A86974" w:rsidRDefault="00A86974" w:rsidP="00A86974">
      <w:pPr>
        <w:pStyle w:val="Akapitzlist1"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/>
        </w:rPr>
        <w:t xml:space="preserve">1 x komputerowych stacjonarnych stanowisk szkolono-treningowych </w:t>
      </w:r>
      <w:r>
        <w:rPr>
          <w:rFonts w:ascii="Times New Roman" w:eastAsia="Arial" w:hAnsi="Times New Roman"/>
          <w:lang w:val="pl-PL"/>
        </w:rPr>
        <w:t xml:space="preserve">stacja robocza o </w:t>
      </w:r>
      <w:proofErr w:type="gramStart"/>
      <w:r>
        <w:rPr>
          <w:rFonts w:ascii="Times New Roman" w:eastAsia="Arial" w:hAnsi="Times New Roman"/>
          <w:lang w:val="pl-PL"/>
        </w:rPr>
        <w:t>minimalnych  parametrach</w:t>
      </w:r>
      <w:proofErr w:type="gramEnd"/>
      <w:r>
        <w:rPr>
          <w:rFonts w:ascii="Times New Roman" w:eastAsia="Arial" w:hAnsi="Times New Roman"/>
          <w:lang w:val="pl-PL"/>
        </w:rPr>
        <w:t>:</w:t>
      </w:r>
    </w:p>
    <w:p w:rsidR="00A86974" w:rsidRDefault="00A86974" w:rsidP="00A86974">
      <w:pPr>
        <w:pStyle w:val="Akapitzlist1"/>
        <w:numPr>
          <w:ilvl w:val="1"/>
          <w:numId w:val="15"/>
        </w:numPr>
        <w:tabs>
          <w:tab w:val="num" w:pos="851"/>
        </w:tabs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procesor: porównywalny do </w:t>
      </w:r>
      <w:proofErr w:type="spellStart"/>
      <w:r>
        <w:rPr>
          <w:rFonts w:ascii="Times New Roman" w:eastAsia="Arial" w:hAnsi="Times New Roman"/>
          <w:lang w:val="pl-PL"/>
        </w:rPr>
        <w:t>intel</w:t>
      </w:r>
      <w:proofErr w:type="spellEnd"/>
      <w:r>
        <w:rPr>
          <w:rFonts w:ascii="Times New Roman" w:eastAsia="Arial" w:hAnsi="Times New Roman"/>
          <w:lang w:val="pl-PL"/>
        </w:rPr>
        <w:t xml:space="preserve"> </w:t>
      </w:r>
      <w:proofErr w:type="spellStart"/>
      <w:r>
        <w:rPr>
          <w:rFonts w:ascii="Times New Roman" w:eastAsia="Arial" w:hAnsi="Times New Roman"/>
          <w:lang w:val="pl-PL"/>
        </w:rPr>
        <w:t>Core</w:t>
      </w:r>
      <w:proofErr w:type="spellEnd"/>
      <w:r>
        <w:rPr>
          <w:rFonts w:ascii="Times New Roman" w:eastAsia="Arial" w:hAnsi="Times New Roman"/>
          <w:lang w:val="pl-PL"/>
        </w:rPr>
        <w:t xml:space="preserve"> i7 13 gen.</w:t>
      </w:r>
    </w:p>
    <w:p w:rsidR="00A86974" w:rsidRDefault="00A86974" w:rsidP="00A86974">
      <w:pPr>
        <w:pStyle w:val="Akapitzlist1"/>
        <w:numPr>
          <w:ilvl w:val="1"/>
          <w:numId w:val="15"/>
        </w:numPr>
        <w:tabs>
          <w:tab w:val="num" w:pos="851"/>
        </w:tabs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RAM: 32 GB</w:t>
      </w:r>
    </w:p>
    <w:p w:rsidR="00A86974" w:rsidRDefault="00A86974" w:rsidP="00A86974">
      <w:pPr>
        <w:pStyle w:val="Akapitzlist1"/>
        <w:numPr>
          <w:ilvl w:val="1"/>
          <w:numId w:val="15"/>
        </w:numPr>
        <w:tabs>
          <w:tab w:val="num" w:pos="851"/>
        </w:tabs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dysk: 1TB SSD</w:t>
      </w:r>
    </w:p>
    <w:p w:rsidR="00A86974" w:rsidRDefault="00A86974" w:rsidP="00A86974">
      <w:pPr>
        <w:pStyle w:val="Akapitzlist1"/>
        <w:numPr>
          <w:ilvl w:val="1"/>
          <w:numId w:val="15"/>
        </w:numPr>
        <w:tabs>
          <w:tab w:val="num" w:pos="851"/>
        </w:tabs>
        <w:spacing w:line="360" w:lineRule="auto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karta graficzna: </w:t>
      </w:r>
      <w:proofErr w:type="spellStart"/>
      <w:r>
        <w:rPr>
          <w:rFonts w:ascii="Times New Roman" w:eastAsia="Arial" w:hAnsi="Times New Roman"/>
          <w:lang w:val="pl-PL"/>
        </w:rPr>
        <w:t>radzaj</w:t>
      </w:r>
      <w:proofErr w:type="spellEnd"/>
      <w:r>
        <w:rPr>
          <w:rFonts w:ascii="Times New Roman" w:eastAsia="Arial" w:hAnsi="Times New Roman"/>
          <w:lang w:val="pl-PL"/>
        </w:rPr>
        <w:t xml:space="preserve"> pamięci </w:t>
      </w:r>
      <w:proofErr w:type="spellStart"/>
      <w:r>
        <w:rPr>
          <w:rFonts w:ascii="Times New Roman" w:eastAsia="Arial" w:hAnsi="Times New Roman"/>
          <w:lang w:val="pl-PL"/>
        </w:rPr>
        <w:t>GDDR</w:t>
      </w:r>
      <w:proofErr w:type="spellEnd"/>
      <w:r>
        <w:rPr>
          <w:rFonts w:ascii="Times New Roman" w:eastAsia="Arial" w:hAnsi="Times New Roman"/>
          <w:lang w:val="pl-PL"/>
        </w:rPr>
        <w:t xml:space="preserve"> 5, ilość pamięci RAM 4GB  </w:t>
      </w:r>
    </w:p>
    <w:p w:rsidR="00A86974" w:rsidRPr="00B11DA8" w:rsidRDefault="00A86974" w:rsidP="00A86974">
      <w:pPr>
        <w:pStyle w:val="Akapitzlist1"/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jc w:val="both"/>
        <w:rPr>
          <w:rFonts w:ascii="Times New Roman" w:eastAsia="Arial" w:hAnsi="Times New Roman"/>
          <w:b/>
          <w:bCs/>
          <w:lang w:val="pl-PL"/>
        </w:rPr>
      </w:pPr>
      <w:r>
        <w:rPr>
          <w:rFonts w:ascii="Times New Roman" w:eastAsia="Arial" w:hAnsi="Times New Roman"/>
          <w:b/>
          <w:bCs/>
          <w:lang w:val="pl-PL"/>
        </w:rPr>
        <w:t xml:space="preserve">11 x </w:t>
      </w:r>
      <w:proofErr w:type="gramStart"/>
      <w:r>
        <w:rPr>
          <w:rFonts w:ascii="Times New Roman" w:eastAsia="Arial" w:hAnsi="Times New Roman"/>
          <w:b/>
          <w:bCs/>
          <w:lang w:val="pl-PL"/>
        </w:rPr>
        <w:t>monitor  32</w:t>
      </w:r>
      <w:proofErr w:type="gramEnd"/>
      <w:r>
        <w:rPr>
          <w:rFonts w:ascii="Times New Roman" w:eastAsia="Arial" w:hAnsi="Times New Roman"/>
          <w:b/>
          <w:bCs/>
          <w:lang w:val="pl-PL"/>
        </w:rPr>
        <w:t xml:space="preserve"> cale o minimalnych parametrach: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b/>
          <w:bCs/>
          <w:lang w:val="pl-PL"/>
        </w:rPr>
      </w:pPr>
      <w:r>
        <w:rPr>
          <w:rFonts w:ascii="Times New Roman" w:eastAsia="Arial" w:hAnsi="Times New Roman"/>
          <w:lang w:val="pl-PL"/>
        </w:rPr>
        <w:t>przekątna ekranu: 31.5", 80cm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b/>
          <w:bCs/>
          <w:lang w:val="pl-PL"/>
        </w:rPr>
      </w:pPr>
      <w:r>
        <w:rPr>
          <w:rFonts w:ascii="Times New Roman" w:eastAsia="Arial" w:hAnsi="Times New Roman"/>
          <w:lang w:val="pl-PL"/>
        </w:rPr>
        <w:t>panel: IPS LED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b/>
          <w:bCs/>
          <w:lang w:val="pl-PL"/>
        </w:rPr>
      </w:pPr>
      <w:r>
        <w:rPr>
          <w:rFonts w:ascii="Times New Roman" w:eastAsia="Arial" w:hAnsi="Times New Roman"/>
          <w:lang w:val="pl-PL"/>
        </w:rPr>
        <w:t>rozdzielczość: 2560x1440 (WQHD)</w:t>
      </w:r>
    </w:p>
    <w:p w:rsidR="00A86974" w:rsidRDefault="00A86974" w:rsidP="00A86974">
      <w:pPr>
        <w:pStyle w:val="Akapitzlist1"/>
        <w:numPr>
          <w:ilvl w:val="1"/>
          <w:numId w:val="7"/>
        </w:numPr>
        <w:spacing w:line="360" w:lineRule="auto"/>
        <w:jc w:val="both"/>
        <w:rPr>
          <w:rFonts w:ascii="Times New Roman" w:eastAsia="Arial" w:hAnsi="Times New Roman"/>
          <w:b/>
          <w:bCs/>
          <w:lang w:val="pl-PL"/>
        </w:rPr>
      </w:pPr>
      <w:r>
        <w:rPr>
          <w:rFonts w:ascii="Times New Roman" w:eastAsia="Arial" w:hAnsi="Times New Roman"/>
          <w:lang w:val="pl-PL"/>
        </w:rPr>
        <w:t>odświeżanie: 165Hz</w:t>
      </w:r>
    </w:p>
    <w:p w:rsidR="00A86974" w:rsidRDefault="00A86974" w:rsidP="00A86974">
      <w:pPr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11 x pakiet oprogramowania biurowego Microsoft Office Home &amp; Business 2021; </w:t>
      </w:r>
    </w:p>
    <w:p w:rsidR="00A86974" w:rsidRDefault="00A86974" w:rsidP="00A86974">
      <w:pPr>
        <w:numPr>
          <w:ilvl w:val="0"/>
          <w:numId w:val="7"/>
        </w:numPr>
        <w:tabs>
          <w:tab w:val="clear" w:pos="720"/>
        </w:tabs>
        <w:spacing w:line="360" w:lineRule="auto"/>
        <w:ind w:left="851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1</w:t>
      </w:r>
      <w:r>
        <w:rPr>
          <w:rFonts w:eastAsia="Arial"/>
          <w:b/>
          <w:color w:val="000000"/>
          <w:sz w:val="22"/>
          <w:szCs w:val="22"/>
        </w:rPr>
        <w:t xml:space="preserve"> x tablica interaktywna</w:t>
      </w:r>
      <w:r>
        <w:rPr>
          <w:rFonts w:eastAsia="Arial"/>
          <w:color w:val="000000"/>
          <w:sz w:val="22"/>
          <w:szCs w:val="22"/>
        </w:rPr>
        <w:t>: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Wygląd:</w:t>
      </w:r>
      <w:r>
        <w:rPr>
          <w:rFonts w:eastAsia="Arial"/>
          <w:color w:val="000000"/>
          <w:sz w:val="22"/>
          <w:szCs w:val="22"/>
        </w:rPr>
        <w:t xml:space="preserve"> cienkie ramki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Przekątna:</w:t>
      </w:r>
      <w:r>
        <w:rPr>
          <w:rFonts w:eastAsia="Arial"/>
          <w:color w:val="000000"/>
          <w:sz w:val="22"/>
          <w:szCs w:val="22"/>
        </w:rPr>
        <w:t xml:space="preserve"> nie mniej niż 85.6", 217.4cm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 xml:space="preserve">Panel: </w:t>
      </w:r>
      <w:r>
        <w:rPr>
          <w:rFonts w:eastAsia="Arial"/>
          <w:color w:val="000000"/>
          <w:sz w:val="22"/>
          <w:szCs w:val="22"/>
        </w:rPr>
        <w:t xml:space="preserve">IPS, bezpośrednia dioda LED, powłoka szklana AG, zero </w:t>
      </w:r>
      <w:proofErr w:type="spellStart"/>
      <w:r>
        <w:rPr>
          <w:rFonts w:eastAsia="Arial"/>
          <w:color w:val="000000"/>
          <w:sz w:val="22"/>
          <w:szCs w:val="22"/>
        </w:rPr>
        <w:t>air</w:t>
      </w:r>
      <w:proofErr w:type="spellEnd"/>
      <w:r>
        <w:rPr>
          <w:rFonts w:eastAsia="Arial"/>
          <w:color w:val="000000"/>
          <w:sz w:val="22"/>
          <w:szCs w:val="22"/>
        </w:rPr>
        <w:t xml:space="preserve">-gap, </w:t>
      </w:r>
      <w:proofErr w:type="spellStart"/>
      <w:r>
        <w:rPr>
          <w:rFonts w:eastAsia="Arial"/>
          <w:color w:val="000000"/>
          <w:sz w:val="22"/>
          <w:szCs w:val="22"/>
        </w:rPr>
        <w:t>haze</w:t>
      </w:r>
      <w:proofErr w:type="spellEnd"/>
      <w:r>
        <w:rPr>
          <w:rFonts w:eastAsia="Arial"/>
          <w:color w:val="000000"/>
          <w:sz w:val="22"/>
          <w:szCs w:val="22"/>
        </w:rPr>
        <w:t xml:space="preserve"> 28%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Rozdzielczość fizyczna:</w:t>
      </w:r>
      <w:r>
        <w:rPr>
          <w:rFonts w:eastAsia="Arial"/>
          <w:color w:val="000000"/>
          <w:sz w:val="22"/>
          <w:szCs w:val="22"/>
        </w:rPr>
        <w:t xml:space="preserve"> nie mniejsza niż 3840 x 2160 (8.3 </w:t>
      </w:r>
      <w:proofErr w:type="spellStart"/>
      <w:r>
        <w:rPr>
          <w:rFonts w:eastAsia="Arial"/>
          <w:color w:val="000000"/>
          <w:sz w:val="22"/>
          <w:szCs w:val="22"/>
        </w:rPr>
        <w:t>megapixel</w:t>
      </w:r>
      <w:proofErr w:type="spellEnd"/>
      <w:r>
        <w:rPr>
          <w:rFonts w:eastAsia="Arial"/>
          <w:color w:val="000000"/>
          <w:sz w:val="22"/>
          <w:szCs w:val="22"/>
        </w:rPr>
        <w:t xml:space="preserve"> 4K </w:t>
      </w:r>
      <w:proofErr w:type="spellStart"/>
      <w:r>
        <w:rPr>
          <w:rFonts w:eastAsia="Arial"/>
          <w:color w:val="000000"/>
          <w:sz w:val="22"/>
          <w:szCs w:val="22"/>
        </w:rPr>
        <w:t>UHD</w:t>
      </w:r>
      <w:proofErr w:type="spellEnd"/>
      <w:r>
        <w:rPr>
          <w:rFonts w:eastAsia="Arial"/>
          <w:color w:val="000000"/>
          <w:sz w:val="22"/>
          <w:szCs w:val="22"/>
        </w:rPr>
        <w:t>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Format obrazu:</w:t>
      </w:r>
      <w:r>
        <w:rPr>
          <w:rFonts w:eastAsia="Arial"/>
          <w:color w:val="000000"/>
          <w:sz w:val="22"/>
          <w:szCs w:val="22"/>
        </w:rPr>
        <w:tab/>
        <w:t>16:9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Jasność:</w:t>
      </w:r>
      <w:r>
        <w:rPr>
          <w:rFonts w:eastAsia="Arial"/>
          <w:color w:val="000000"/>
          <w:sz w:val="22"/>
          <w:szCs w:val="22"/>
        </w:rPr>
        <w:t xml:space="preserve"> 400 cd/m²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Przepuszczalność światła:</w:t>
      </w:r>
      <w:r>
        <w:rPr>
          <w:rFonts w:eastAsia="Arial"/>
          <w:color w:val="000000"/>
          <w:sz w:val="22"/>
          <w:szCs w:val="22"/>
        </w:rPr>
        <w:t xml:space="preserve"> 88%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Kontrast statyczny:</w:t>
      </w:r>
      <w:r>
        <w:rPr>
          <w:rFonts w:eastAsia="Arial"/>
          <w:color w:val="000000"/>
          <w:sz w:val="22"/>
          <w:szCs w:val="22"/>
        </w:rPr>
        <w:t xml:space="preserve"> 1200:1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  <w:u w:val="single"/>
        </w:rPr>
        <w:t>Dynamic</w:t>
      </w:r>
      <w:proofErr w:type="spellEnd"/>
      <w:r>
        <w:rPr>
          <w:rFonts w:eastAsia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eastAsia="Arial"/>
          <w:color w:val="000000"/>
          <w:sz w:val="22"/>
          <w:szCs w:val="22"/>
          <w:u w:val="single"/>
        </w:rPr>
        <w:t>contrast</w:t>
      </w:r>
      <w:proofErr w:type="spellEnd"/>
      <w:r>
        <w:rPr>
          <w:rFonts w:eastAsia="Arial"/>
          <w:color w:val="000000"/>
          <w:sz w:val="22"/>
          <w:szCs w:val="22"/>
          <w:u w:val="single"/>
        </w:rPr>
        <w:t>:</w:t>
      </w:r>
      <w:r>
        <w:rPr>
          <w:rFonts w:eastAsia="Arial"/>
          <w:color w:val="000000"/>
          <w:sz w:val="22"/>
          <w:szCs w:val="22"/>
        </w:rPr>
        <w:t xml:space="preserve"> 3500:1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Czas reakcji (GTG): nie większy niż</w:t>
      </w:r>
      <w:r>
        <w:rPr>
          <w:rFonts w:eastAsia="Arial"/>
          <w:color w:val="000000"/>
          <w:sz w:val="22"/>
          <w:szCs w:val="22"/>
        </w:rPr>
        <w:t xml:space="preserve"> 8ms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Kąty widzenia:</w:t>
      </w:r>
      <w:r>
        <w:rPr>
          <w:rFonts w:eastAsia="Arial"/>
          <w:color w:val="000000"/>
          <w:sz w:val="22"/>
          <w:szCs w:val="22"/>
        </w:rPr>
        <w:tab/>
        <w:t>poziomo/pionowo: 178°/178°, prawo/lewo: 89°/89°, góra/dół: 89°/89°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Kolory:</w:t>
      </w:r>
      <w:r>
        <w:rPr>
          <w:rFonts w:eastAsia="Arial"/>
          <w:color w:val="000000"/>
          <w:sz w:val="22"/>
          <w:szCs w:val="22"/>
        </w:rPr>
        <w:t xml:space="preserve"> 1.07B (8bit+FRC)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Synchronizacja pozioma:</w:t>
      </w:r>
      <w:r>
        <w:rPr>
          <w:rFonts w:eastAsia="Arial"/>
          <w:color w:val="000000"/>
          <w:sz w:val="22"/>
          <w:szCs w:val="22"/>
        </w:rPr>
        <w:t xml:space="preserve"> 30 - 135kHz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Powierzchnia robocza szer. x wys</w:t>
      </w:r>
      <w:r>
        <w:rPr>
          <w:rFonts w:eastAsia="Arial"/>
          <w:color w:val="000000"/>
          <w:sz w:val="22"/>
          <w:szCs w:val="22"/>
        </w:rPr>
        <w:t xml:space="preserve">.: nie mniejsza niż 1895 x 1066mm,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Szerokość ramki (boki, góra, dół</w:t>
      </w:r>
      <w:proofErr w:type="gramStart"/>
      <w:r>
        <w:rPr>
          <w:rFonts w:eastAsia="Arial"/>
          <w:color w:val="000000"/>
          <w:sz w:val="22"/>
          <w:szCs w:val="22"/>
          <w:u w:val="single"/>
        </w:rPr>
        <w:t>):</w:t>
      </w:r>
      <w:r>
        <w:rPr>
          <w:rFonts w:eastAsia="Arial"/>
          <w:color w:val="000000"/>
          <w:sz w:val="22"/>
          <w:szCs w:val="22"/>
        </w:rPr>
        <w:t xml:space="preserve">  nie</w:t>
      </w:r>
      <w:proofErr w:type="gramEnd"/>
      <w:r>
        <w:rPr>
          <w:rFonts w:eastAsia="Arial"/>
          <w:color w:val="000000"/>
          <w:sz w:val="22"/>
          <w:szCs w:val="22"/>
        </w:rPr>
        <w:t xml:space="preserve"> większa niż 14mm, 14mm, 43mm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Plamka:</w:t>
      </w:r>
      <w:r>
        <w:rPr>
          <w:rFonts w:eastAsia="Arial"/>
          <w:color w:val="000000"/>
          <w:sz w:val="22"/>
          <w:szCs w:val="22"/>
        </w:rPr>
        <w:t xml:space="preserve"> nie większa niż 0.5 mm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Obudowa:</w:t>
      </w:r>
      <w:r>
        <w:rPr>
          <w:rFonts w:eastAsia="Arial"/>
          <w:color w:val="000000"/>
          <w:sz w:val="22"/>
          <w:szCs w:val="22"/>
        </w:rPr>
        <w:t xml:space="preserve"> czarna, matowa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Technologia dotykowa:</w:t>
      </w:r>
      <w:r>
        <w:rPr>
          <w:rFonts w:eastAsia="Arial"/>
          <w:color w:val="000000"/>
          <w:sz w:val="22"/>
          <w:szCs w:val="22"/>
        </w:rPr>
        <w:t xml:space="preserve"> </w:t>
      </w:r>
      <w:proofErr w:type="spellStart"/>
      <w:r>
        <w:rPr>
          <w:rFonts w:eastAsia="Arial"/>
          <w:color w:val="000000"/>
          <w:sz w:val="22"/>
          <w:szCs w:val="22"/>
        </w:rPr>
        <w:t>PureTouch</w:t>
      </w:r>
      <w:proofErr w:type="spellEnd"/>
      <w:r>
        <w:rPr>
          <w:rFonts w:eastAsia="Arial"/>
          <w:color w:val="000000"/>
          <w:sz w:val="22"/>
          <w:szCs w:val="22"/>
        </w:rPr>
        <w:t>-IR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Punkty dotykowe:</w:t>
      </w:r>
      <w:r>
        <w:rPr>
          <w:rFonts w:eastAsia="Arial"/>
          <w:color w:val="000000"/>
          <w:sz w:val="22"/>
          <w:szCs w:val="22"/>
        </w:rPr>
        <w:t xml:space="preserve"> 20, 10pt </w:t>
      </w:r>
      <w:proofErr w:type="spellStart"/>
      <w:r>
        <w:rPr>
          <w:rFonts w:eastAsia="Arial"/>
          <w:color w:val="000000"/>
          <w:sz w:val="22"/>
          <w:szCs w:val="22"/>
        </w:rPr>
        <w:t>writing</w:t>
      </w:r>
      <w:proofErr w:type="spellEnd"/>
      <w:r>
        <w:rPr>
          <w:rFonts w:eastAsia="Arial"/>
          <w:color w:val="000000"/>
          <w:sz w:val="22"/>
          <w:szCs w:val="22"/>
        </w:rPr>
        <w:t xml:space="preserve"> (</w:t>
      </w:r>
      <w:proofErr w:type="spellStart"/>
      <w:r>
        <w:rPr>
          <w:rFonts w:eastAsia="Arial"/>
          <w:color w:val="000000"/>
          <w:sz w:val="22"/>
          <w:szCs w:val="22"/>
        </w:rPr>
        <w:t>HID</w:t>
      </w:r>
      <w:proofErr w:type="spellEnd"/>
      <w:r>
        <w:rPr>
          <w:rFonts w:eastAsia="Arial"/>
          <w:color w:val="000000"/>
          <w:sz w:val="22"/>
          <w:szCs w:val="22"/>
        </w:rPr>
        <w:t>, wymaga kompatybilnego systemu operacyjnego)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Dokładność dotyku:</w:t>
      </w:r>
      <w:r>
        <w:rPr>
          <w:rFonts w:eastAsia="Arial"/>
          <w:color w:val="000000"/>
          <w:sz w:val="22"/>
          <w:szCs w:val="22"/>
        </w:rPr>
        <w:t xml:space="preserve"> +- 1mm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Dotyk wykonywany:</w:t>
      </w:r>
      <w:r>
        <w:rPr>
          <w:rFonts w:eastAsia="Arial"/>
          <w:color w:val="000000"/>
          <w:sz w:val="22"/>
          <w:szCs w:val="22"/>
        </w:rPr>
        <w:t xml:space="preserve"> stylusem, palcem, w rękawiczce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Interfejs dotykowy:</w:t>
      </w:r>
      <w:r>
        <w:rPr>
          <w:rFonts w:eastAsia="Arial"/>
          <w:color w:val="000000"/>
          <w:sz w:val="22"/>
          <w:szCs w:val="22"/>
        </w:rPr>
        <w:t xml:space="preserve"> USB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analogowe wejścia sygnału:</w:t>
      </w:r>
      <w:r>
        <w:rPr>
          <w:rFonts w:eastAsia="Arial"/>
          <w:color w:val="000000"/>
          <w:sz w:val="22"/>
          <w:szCs w:val="22"/>
        </w:rPr>
        <w:t xml:space="preserve"> VGA x1 (max. 1920x1080 @60Hz)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lastRenderedPageBreak/>
        <w:t>Cyfrowe wejścia sygnału:</w:t>
      </w:r>
      <w:r>
        <w:rPr>
          <w:rFonts w:eastAsia="Arial"/>
          <w:color w:val="000000"/>
          <w:sz w:val="22"/>
          <w:szCs w:val="22"/>
        </w:rPr>
        <w:t xml:space="preserve"> HDMI x3 (v.2.0, max. 3840x2160 @60Hz, YUV444), USB-C x1 (3.1, 3840x2160 @60Hz - RGB444 - </w:t>
      </w:r>
      <w:proofErr w:type="gramStart"/>
      <w:r>
        <w:rPr>
          <w:rFonts w:eastAsia="Arial"/>
          <w:color w:val="000000"/>
          <w:sz w:val="22"/>
          <w:szCs w:val="22"/>
        </w:rPr>
        <w:t>( 65</w:t>
      </w:r>
      <w:proofErr w:type="gramEnd"/>
      <w:r>
        <w:rPr>
          <w:rFonts w:eastAsia="Arial"/>
          <w:color w:val="000000"/>
          <w:sz w:val="22"/>
          <w:szCs w:val="22"/>
        </w:rPr>
        <w:t xml:space="preserve">W </w:t>
      </w:r>
      <w:proofErr w:type="spellStart"/>
      <w:r>
        <w:rPr>
          <w:rFonts w:eastAsia="Arial"/>
          <w:color w:val="000000"/>
          <w:sz w:val="22"/>
          <w:szCs w:val="22"/>
        </w:rPr>
        <w:t>charging</w:t>
      </w:r>
      <w:proofErr w:type="spellEnd"/>
      <w:r>
        <w:rPr>
          <w:rFonts w:eastAsia="Arial"/>
          <w:color w:val="000000"/>
          <w:sz w:val="22"/>
          <w:szCs w:val="22"/>
        </w:rPr>
        <w:t xml:space="preserve">, </w:t>
      </w:r>
      <w:proofErr w:type="spellStart"/>
      <w:r>
        <w:rPr>
          <w:rFonts w:eastAsia="Arial"/>
          <w:color w:val="000000"/>
          <w:sz w:val="22"/>
          <w:szCs w:val="22"/>
        </w:rPr>
        <w:t>Touch</w:t>
      </w:r>
      <w:proofErr w:type="spellEnd"/>
      <w:r>
        <w:rPr>
          <w:rFonts w:eastAsia="Arial"/>
          <w:color w:val="000000"/>
          <w:sz w:val="22"/>
          <w:szCs w:val="22"/>
        </w:rPr>
        <w:t xml:space="preserve">)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Wejścia audio:</w:t>
      </w:r>
      <w:r>
        <w:rPr>
          <w:rFonts w:eastAsia="Arial"/>
          <w:color w:val="000000"/>
          <w:sz w:val="22"/>
          <w:szCs w:val="22"/>
        </w:rPr>
        <w:t xml:space="preserve"> Mini </w:t>
      </w:r>
      <w:proofErr w:type="spellStart"/>
      <w:r>
        <w:rPr>
          <w:rFonts w:eastAsia="Arial"/>
          <w:color w:val="000000"/>
          <w:sz w:val="22"/>
          <w:szCs w:val="22"/>
        </w:rPr>
        <w:t>jack</w:t>
      </w:r>
      <w:proofErr w:type="spellEnd"/>
      <w:r>
        <w:rPr>
          <w:rFonts w:eastAsia="Arial"/>
          <w:color w:val="000000"/>
          <w:sz w:val="22"/>
          <w:szCs w:val="22"/>
        </w:rPr>
        <w:t xml:space="preserve"> x1</w:t>
      </w:r>
    </w:p>
    <w:p w:rsidR="00A86974" w:rsidRPr="00B11DA8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  <w:lang w:val="en-US"/>
        </w:rPr>
      </w:pPr>
      <w:proofErr w:type="spellStart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Sterowanie</w:t>
      </w:r>
      <w:proofErr w:type="spellEnd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:</w:t>
      </w:r>
      <w:r w:rsidRPr="00B11DA8">
        <w:rPr>
          <w:rFonts w:eastAsia="Arial"/>
          <w:color w:val="000000"/>
          <w:sz w:val="22"/>
          <w:szCs w:val="22"/>
          <w:lang w:val="en-US"/>
        </w:rPr>
        <w:t> RS-232c x1 (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DSUB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 xml:space="preserve"> 9pin), RJ45 (LAN) x1 (LAN Control), IR x1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Wyjścia audio:</w:t>
      </w:r>
      <w:r>
        <w:rPr>
          <w:rFonts w:eastAsia="Arial"/>
          <w:color w:val="000000"/>
          <w:sz w:val="22"/>
          <w:szCs w:val="22"/>
        </w:rPr>
        <w:t xml:space="preserve"> S/PDIF (Optical) x1, Mini </w:t>
      </w:r>
      <w:proofErr w:type="spellStart"/>
      <w:r>
        <w:rPr>
          <w:rFonts w:eastAsia="Arial"/>
          <w:color w:val="000000"/>
          <w:sz w:val="22"/>
          <w:szCs w:val="22"/>
        </w:rPr>
        <w:t>jack</w:t>
      </w:r>
      <w:proofErr w:type="spellEnd"/>
      <w:r>
        <w:rPr>
          <w:rFonts w:eastAsia="Arial"/>
          <w:color w:val="000000"/>
          <w:sz w:val="22"/>
          <w:szCs w:val="22"/>
        </w:rPr>
        <w:t xml:space="preserve"> x1, Wbudowane głośniki 2 x 16W 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HDCP: v.2.2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Port USB:</w:t>
      </w:r>
      <w:r>
        <w:rPr>
          <w:rFonts w:eastAsia="Arial"/>
          <w:color w:val="000000"/>
          <w:sz w:val="22"/>
          <w:szCs w:val="22"/>
        </w:rPr>
        <w:t xml:space="preserve"> x6 (odtwarzanie multimediów / urządzenia peryferyjne / pamięć - przód: 2x v.3.0, prawy bok: 2x v.3.0, 1x USB-C v.3.1)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RJ45 (LAN):</w:t>
      </w:r>
      <w:r>
        <w:rPr>
          <w:rFonts w:eastAsia="Arial"/>
          <w:color w:val="000000"/>
          <w:sz w:val="22"/>
          <w:szCs w:val="22"/>
        </w:rPr>
        <w:t xml:space="preserve"> x2 (Automatyczne przełączanie na PC i Androida, 1000 MB)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Zintegrowane oprogramowanie:</w:t>
      </w:r>
      <w:r>
        <w:rPr>
          <w:rFonts w:eastAsia="Arial"/>
          <w:color w:val="000000"/>
          <w:sz w:val="22"/>
          <w:szCs w:val="22"/>
        </w:rPr>
        <w:t xml:space="preserve"> oprogramowanie </w:t>
      </w:r>
      <w:proofErr w:type="spellStart"/>
      <w:r>
        <w:rPr>
          <w:rFonts w:eastAsia="Arial"/>
          <w:color w:val="000000"/>
          <w:sz w:val="22"/>
          <w:szCs w:val="22"/>
        </w:rPr>
        <w:t>iiWare</w:t>
      </w:r>
      <w:proofErr w:type="spellEnd"/>
      <w:r>
        <w:rPr>
          <w:rFonts w:eastAsia="Arial"/>
          <w:color w:val="000000"/>
          <w:sz w:val="22"/>
          <w:szCs w:val="22"/>
        </w:rPr>
        <w:t xml:space="preserve"> 9.0 (Android OS) obejmujące aplikację </w:t>
      </w:r>
      <w:proofErr w:type="spellStart"/>
      <w:r>
        <w:rPr>
          <w:rFonts w:eastAsia="Arial"/>
          <w:color w:val="000000"/>
          <w:sz w:val="22"/>
          <w:szCs w:val="22"/>
        </w:rPr>
        <w:t>Note</w:t>
      </w:r>
      <w:proofErr w:type="spellEnd"/>
      <w:r>
        <w:rPr>
          <w:rFonts w:eastAsia="Arial"/>
          <w:color w:val="000000"/>
          <w:sz w:val="22"/>
          <w:szCs w:val="22"/>
        </w:rPr>
        <w:t xml:space="preserve">, przeglądarkę sieci WWW, system zarządzania plikami, dostęp do dysku w chmurze, pakiet WPS Office i aplikacje </w:t>
      </w:r>
      <w:proofErr w:type="spellStart"/>
      <w:r>
        <w:rPr>
          <w:rFonts w:eastAsia="Arial"/>
          <w:color w:val="000000"/>
          <w:sz w:val="22"/>
          <w:szCs w:val="22"/>
        </w:rPr>
        <w:t>BytelloShare</w:t>
      </w:r>
      <w:proofErr w:type="spellEnd"/>
      <w:r>
        <w:rPr>
          <w:rFonts w:eastAsia="Arial"/>
          <w:color w:val="000000"/>
          <w:sz w:val="22"/>
          <w:szCs w:val="22"/>
        </w:rPr>
        <w:t xml:space="preserve"> i </w:t>
      </w:r>
      <w:proofErr w:type="spellStart"/>
      <w:r>
        <w:rPr>
          <w:rFonts w:eastAsia="Arial"/>
          <w:color w:val="000000"/>
          <w:sz w:val="22"/>
          <w:szCs w:val="22"/>
        </w:rPr>
        <w:t>EShare</w:t>
      </w:r>
      <w:proofErr w:type="spellEnd"/>
      <w:r>
        <w:rPr>
          <w:rFonts w:eastAsia="Arial"/>
          <w:color w:val="000000"/>
          <w:sz w:val="22"/>
          <w:szCs w:val="22"/>
        </w:rPr>
        <w:t xml:space="preserve"> pozwalające na bezprzewodowe łączenie z urządzeniami Windows/iOS/Android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  <w:u w:val="single"/>
        </w:rPr>
        <w:t>WiFi</w:t>
      </w:r>
      <w:proofErr w:type="spellEnd"/>
      <w:r>
        <w:rPr>
          <w:rFonts w:eastAsia="Arial"/>
          <w:color w:val="000000"/>
          <w:sz w:val="22"/>
          <w:szCs w:val="22"/>
          <w:u w:val="single"/>
        </w:rPr>
        <w:t>:</w:t>
      </w:r>
      <w:r>
        <w:rPr>
          <w:rFonts w:eastAsia="Arial"/>
          <w:color w:val="000000"/>
          <w:sz w:val="22"/>
          <w:szCs w:val="22"/>
        </w:rPr>
        <w:t xml:space="preserve"> tak (Moduł </w:t>
      </w:r>
      <w:proofErr w:type="spellStart"/>
      <w:r>
        <w:rPr>
          <w:rFonts w:eastAsia="Arial"/>
          <w:color w:val="000000"/>
          <w:sz w:val="22"/>
          <w:szCs w:val="22"/>
        </w:rPr>
        <w:t>WiFi</w:t>
      </w:r>
      <w:proofErr w:type="spellEnd"/>
      <w:r>
        <w:rPr>
          <w:rFonts w:eastAsia="Arial"/>
          <w:color w:val="000000"/>
          <w:sz w:val="22"/>
          <w:szCs w:val="22"/>
        </w:rPr>
        <w:t xml:space="preserve"> OWM002 - Dwuzakresowy moduł </w:t>
      </w:r>
      <w:proofErr w:type="spellStart"/>
      <w:r>
        <w:rPr>
          <w:rFonts w:eastAsia="Arial"/>
          <w:color w:val="000000"/>
          <w:sz w:val="22"/>
          <w:szCs w:val="22"/>
        </w:rPr>
        <w:t>WiFi</w:t>
      </w:r>
      <w:proofErr w:type="spellEnd"/>
      <w:r>
        <w:rPr>
          <w:rFonts w:eastAsia="Arial"/>
          <w:color w:val="000000"/>
          <w:sz w:val="22"/>
          <w:szCs w:val="22"/>
        </w:rPr>
        <w:t xml:space="preserve"> (2,4 GHz / 5 GHz), Standard Wi-Fi: </w:t>
      </w:r>
      <w:proofErr w:type="spellStart"/>
      <w:r>
        <w:rPr>
          <w:rFonts w:eastAsia="Arial"/>
          <w:color w:val="000000"/>
          <w:sz w:val="22"/>
          <w:szCs w:val="22"/>
        </w:rPr>
        <w:t>IIEEE</w:t>
      </w:r>
      <w:proofErr w:type="spellEnd"/>
      <w:r>
        <w:rPr>
          <w:rFonts w:eastAsia="Arial"/>
          <w:color w:val="000000"/>
          <w:sz w:val="22"/>
          <w:szCs w:val="22"/>
        </w:rPr>
        <w:t xml:space="preserve"> 802.11 a / b / g / n / </w:t>
      </w:r>
      <w:proofErr w:type="spellStart"/>
      <w:r>
        <w:rPr>
          <w:rFonts w:eastAsia="Arial"/>
          <w:color w:val="000000"/>
          <w:sz w:val="22"/>
          <w:szCs w:val="22"/>
        </w:rPr>
        <w:t>ac</w:t>
      </w:r>
      <w:proofErr w:type="spellEnd"/>
      <w:r>
        <w:rPr>
          <w:rFonts w:eastAsia="Arial"/>
          <w:color w:val="000000"/>
          <w:sz w:val="22"/>
          <w:szCs w:val="22"/>
        </w:rPr>
        <w:t>, Obsługa Bluetooth: 2.1 / 3.0 / 4.2 / 5.0)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Hardware:</w:t>
      </w:r>
      <w:r>
        <w:rPr>
          <w:rFonts w:eastAsia="Arial"/>
          <w:color w:val="000000"/>
          <w:sz w:val="22"/>
          <w:szCs w:val="22"/>
        </w:rPr>
        <w:t xml:space="preserve"> Quad </w:t>
      </w:r>
      <w:proofErr w:type="spellStart"/>
      <w:r>
        <w:rPr>
          <w:rFonts w:eastAsia="Arial"/>
          <w:color w:val="000000"/>
          <w:sz w:val="22"/>
          <w:szCs w:val="22"/>
        </w:rPr>
        <w:t>core</w:t>
      </w:r>
      <w:proofErr w:type="spellEnd"/>
      <w:r>
        <w:rPr>
          <w:rFonts w:eastAsia="Arial"/>
          <w:color w:val="000000"/>
          <w:sz w:val="22"/>
          <w:szCs w:val="22"/>
        </w:rPr>
        <w:t xml:space="preserve"> A73 CPU, Mali G52 GPU, 4GB RAM, wewnętrzna pamięć 32GB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Ekstra:</w:t>
      </w:r>
      <w:r>
        <w:rPr>
          <w:rFonts w:eastAsia="Arial"/>
          <w:color w:val="000000"/>
          <w:sz w:val="22"/>
          <w:szCs w:val="22"/>
        </w:rPr>
        <w:t xml:space="preserve"> Moduł </w:t>
      </w:r>
      <w:proofErr w:type="spellStart"/>
      <w:r>
        <w:rPr>
          <w:rFonts w:eastAsia="Arial"/>
          <w:color w:val="000000"/>
          <w:sz w:val="22"/>
          <w:szCs w:val="22"/>
        </w:rPr>
        <w:t>WiFi</w:t>
      </w:r>
      <w:proofErr w:type="spellEnd"/>
      <w:r>
        <w:rPr>
          <w:rFonts w:eastAsia="Arial"/>
          <w:color w:val="000000"/>
          <w:sz w:val="22"/>
          <w:szCs w:val="22"/>
        </w:rPr>
        <w:t xml:space="preserve"> (OWM002), gniazdo na opcjonalny komputer typu OPS Slot PC, 4x pióro dotykowe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Tryb kiosk:</w:t>
      </w:r>
      <w:r>
        <w:rPr>
          <w:rFonts w:eastAsia="Arial"/>
          <w:color w:val="000000"/>
          <w:sz w:val="22"/>
          <w:szCs w:val="22"/>
        </w:rPr>
        <w:t xml:space="preserve"> tak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Maksymalny czas pracy bez przerwy:</w:t>
      </w:r>
      <w:r>
        <w:rPr>
          <w:rFonts w:eastAsia="Arial"/>
          <w:color w:val="000000"/>
          <w:sz w:val="22"/>
          <w:szCs w:val="22"/>
        </w:rPr>
        <w:t xml:space="preserve"> 24/7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Odtwarzanie multimediów:</w:t>
      </w:r>
      <w:r>
        <w:rPr>
          <w:rFonts w:eastAsia="Arial"/>
          <w:color w:val="000000"/>
          <w:sz w:val="22"/>
          <w:szCs w:val="22"/>
        </w:rPr>
        <w:t xml:space="preserve"> tak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Grubość szkła:</w:t>
      </w:r>
      <w:r>
        <w:rPr>
          <w:rFonts w:eastAsia="Arial"/>
          <w:color w:val="000000"/>
          <w:sz w:val="22"/>
          <w:szCs w:val="22"/>
        </w:rPr>
        <w:t xml:space="preserve"> 3mm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Twardość szkła:</w:t>
      </w:r>
      <w:r>
        <w:rPr>
          <w:rFonts w:eastAsia="Arial"/>
          <w:color w:val="000000"/>
          <w:sz w:val="22"/>
          <w:szCs w:val="22"/>
        </w:rPr>
        <w:t xml:space="preserve"> 7H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Obudowa:</w:t>
      </w:r>
      <w:r>
        <w:rPr>
          <w:rFonts w:eastAsia="Arial"/>
          <w:color w:val="000000"/>
          <w:sz w:val="22"/>
          <w:szCs w:val="22"/>
        </w:rPr>
        <w:t xml:space="preserve"> metal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Blokada przycisków OSD:</w:t>
      </w:r>
      <w:r>
        <w:rPr>
          <w:rFonts w:eastAsia="Arial"/>
          <w:color w:val="000000"/>
          <w:sz w:val="22"/>
          <w:szCs w:val="22"/>
        </w:rPr>
        <w:t xml:space="preserve"> tak</w:t>
      </w:r>
    </w:p>
    <w:p w:rsidR="00A86974" w:rsidRPr="00B11DA8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  <w:lang w:val="en-US"/>
        </w:rPr>
      </w:pPr>
      <w:proofErr w:type="spellStart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Języki</w:t>
      </w:r>
      <w:proofErr w:type="spellEnd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 xml:space="preserve"> menu </w:t>
      </w:r>
      <w:proofErr w:type="spellStart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OSD</w:t>
      </w:r>
      <w:proofErr w:type="spellEnd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:</w:t>
      </w:r>
      <w:r w:rsidRPr="00B11DA8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EN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>, DE, FR, ES, IT, RU, CZ, NL, PL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Przyciski:</w:t>
      </w:r>
      <w:r>
        <w:rPr>
          <w:rFonts w:eastAsia="Arial"/>
          <w:color w:val="000000"/>
          <w:sz w:val="22"/>
          <w:szCs w:val="22"/>
        </w:rPr>
        <w:t xml:space="preserve"> Zasilanie, Wskaźnik zasilania, Czujnik zdalny, Czujnik światła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Parametry regulowane:</w:t>
      </w:r>
      <w:r>
        <w:rPr>
          <w:rFonts w:eastAsia="Arial"/>
          <w:color w:val="000000"/>
          <w:sz w:val="22"/>
          <w:szCs w:val="22"/>
        </w:rPr>
        <w:t xml:space="preserve"> ustawienia ogólne (wejście, głośność, podświetlenie), ustawienia audio (głośność, basy, wysokie, balans, tryb dźwięku, wyciszenie), ustawienia ekranu (format obrazu, przesunięcie pikseli), ustawienia wyświetlania </w:t>
      </w:r>
      <w:proofErr w:type="gramStart"/>
      <w:r>
        <w:rPr>
          <w:rFonts w:eastAsia="Arial"/>
          <w:color w:val="000000"/>
          <w:sz w:val="22"/>
          <w:szCs w:val="22"/>
        </w:rPr>
        <w:t>( jasność</w:t>
      </w:r>
      <w:proofErr w:type="gramEnd"/>
      <w:r>
        <w:rPr>
          <w:rFonts w:eastAsia="Arial"/>
          <w:color w:val="000000"/>
          <w:sz w:val="22"/>
          <w:szCs w:val="22"/>
        </w:rPr>
        <w:t>, kontrast, odcień, ostrość, tryb wyświetlania, temp. kolorów), dostosuj ustawienia (pozycja pozioma, pozycja pionowa, taktowanie, faza, auto), ustawienia (sieć bezprzewodowa i sieci, osobiste, wejście i wyjście, aplikacja, system)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 xml:space="preserve">Redukcja niebieskiego </w:t>
      </w:r>
      <w:proofErr w:type="spellStart"/>
      <w:proofErr w:type="gramStart"/>
      <w:r>
        <w:rPr>
          <w:rFonts w:eastAsia="Arial"/>
          <w:color w:val="000000"/>
          <w:sz w:val="22"/>
          <w:szCs w:val="22"/>
          <w:u w:val="single"/>
        </w:rPr>
        <w:t>światła:</w:t>
      </w:r>
      <w:r>
        <w:rPr>
          <w:rFonts w:eastAsia="Arial"/>
          <w:color w:val="000000"/>
          <w:sz w:val="22"/>
          <w:szCs w:val="22"/>
        </w:rPr>
        <w:t>tak</w:t>
      </w:r>
      <w:proofErr w:type="spellEnd"/>
      <w:proofErr w:type="gramEnd"/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  <w:u w:val="single"/>
        </w:rPr>
        <w:t>Plug&amp;Play</w:t>
      </w:r>
      <w:proofErr w:type="spellEnd"/>
      <w:r>
        <w:rPr>
          <w:rFonts w:eastAsia="Arial"/>
          <w:color w:val="000000"/>
          <w:sz w:val="22"/>
          <w:szCs w:val="22"/>
          <w:u w:val="single"/>
        </w:rPr>
        <w:t>:</w:t>
      </w:r>
      <w:r>
        <w:rPr>
          <w:rFonts w:eastAsia="Arial"/>
          <w:color w:val="000000"/>
          <w:sz w:val="22"/>
          <w:szCs w:val="22"/>
        </w:rPr>
        <w:t xml:space="preserve"> DDC2B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Gwarancja:</w:t>
      </w:r>
      <w:r>
        <w:rPr>
          <w:rFonts w:eastAsia="Arial"/>
          <w:color w:val="000000"/>
          <w:sz w:val="22"/>
          <w:szCs w:val="22"/>
        </w:rPr>
        <w:t xml:space="preserve"> do 5 lat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Orientacja:</w:t>
      </w:r>
      <w:r>
        <w:rPr>
          <w:rFonts w:eastAsia="Arial"/>
          <w:color w:val="000000"/>
          <w:sz w:val="22"/>
          <w:szCs w:val="22"/>
        </w:rPr>
        <w:t xml:space="preserve"> pozioma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Konstrukcja bez wentylatora:</w:t>
      </w:r>
      <w:r>
        <w:rPr>
          <w:rFonts w:eastAsia="Arial"/>
          <w:color w:val="000000"/>
          <w:sz w:val="22"/>
          <w:szCs w:val="22"/>
        </w:rPr>
        <w:t xml:space="preserve"> tak</w:t>
      </w:r>
    </w:p>
    <w:p w:rsidR="00A86974" w:rsidRDefault="00A86974" w:rsidP="00A86974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Standard VESA:</w:t>
      </w:r>
      <w:r>
        <w:rPr>
          <w:rFonts w:eastAsia="Arial"/>
          <w:color w:val="000000"/>
          <w:sz w:val="22"/>
          <w:szCs w:val="22"/>
        </w:rPr>
        <w:t xml:space="preserve"> 800 x 600mm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Warunki pracy – temperatura:</w:t>
      </w:r>
      <w:r>
        <w:rPr>
          <w:rFonts w:eastAsia="Arial"/>
          <w:color w:val="000000"/>
          <w:sz w:val="22"/>
          <w:szCs w:val="22"/>
        </w:rPr>
        <w:t xml:space="preserve"> 0°C - 40°C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MTBF:</w:t>
      </w:r>
      <w:r>
        <w:rPr>
          <w:rFonts w:eastAsia="Arial"/>
          <w:color w:val="000000"/>
          <w:sz w:val="22"/>
          <w:szCs w:val="22"/>
        </w:rPr>
        <w:t xml:space="preserve"> 50.000 godzin (wyłączając podświetlenie)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Kable:</w:t>
      </w:r>
      <w:r>
        <w:rPr>
          <w:rFonts w:eastAsia="Arial"/>
          <w:color w:val="000000"/>
          <w:sz w:val="22"/>
          <w:szCs w:val="22"/>
        </w:rPr>
        <w:t xml:space="preserve"> zasilający, USB, HDMI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Rysik:</w:t>
      </w:r>
      <w:r>
        <w:rPr>
          <w:rFonts w:eastAsia="Arial"/>
          <w:color w:val="000000"/>
          <w:sz w:val="22"/>
          <w:szCs w:val="22"/>
        </w:rPr>
        <w:t xml:space="preserve"> x4 (Rysik z dwiema końcówkami)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Instrukcje:</w:t>
      </w:r>
      <w:r>
        <w:rPr>
          <w:rFonts w:eastAsia="Arial"/>
          <w:color w:val="000000"/>
          <w:sz w:val="22"/>
          <w:szCs w:val="22"/>
        </w:rPr>
        <w:t xml:space="preserve"> skrócona instrukcja obsługi, instrukcja bezpieczeństwa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Pozostałe:</w:t>
      </w:r>
      <w:r>
        <w:rPr>
          <w:rFonts w:eastAsia="Arial"/>
          <w:color w:val="000000"/>
          <w:sz w:val="22"/>
          <w:szCs w:val="22"/>
        </w:rPr>
        <w:t xml:space="preserve"> Wspornik montażowy do NUC, Wspornik montażowy do kamery internetowej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Pilot:</w:t>
      </w:r>
      <w:r>
        <w:rPr>
          <w:rFonts w:eastAsia="Arial"/>
          <w:color w:val="000000"/>
          <w:sz w:val="22"/>
          <w:szCs w:val="22"/>
        </w:rPr>
        <w:t xml:space="preserve"> tak (baterie w zestawie)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lastRenderedPageBreak/>
        <w:t>Zasilacz:</w:t>
      </w:r>
      <w:r>
        <w:rPr>
          <w:rFonts w:eastAsia="Arial"/>
          <w:color w:val="000000"/>
          <w:sz w:val="22"/>
          <w:szCs w:val="22"/>
        </w:rPr>
        <w:t xml:space="preserve"> wewnętrzny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Zasilanie:</w:t>
      </w:r>
      <w:r>
        <w:rPr>
          <w:rFonts w:eastAsia="Arial"/>
          <w:color w:val="000000"/>
          <w:sz w:val="22"/>
          <w:szCs w:val="22"/>
        </w:rPr>
        <w:t xml:space="preserve"> AC 100 - 240V, 50/60Hz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Zużycie energii:</w:t>
      </w:r>
      <w:r>
        <w:rPr>
          <w:rFonts w:eastAsia="Arial"/>
          <w:color w:val="000000"/>
          <w:sz w:val="22"/>
          <w:szCs w:val="22"/>
        </w:rPr>
        <w:t xml:space="preserve"> 359W typowo, 0.5W stand by, 0.3W off </w:t>
      </w:r>
      <w:proofErr w:type="spellStart"/>
      <w:r>
        <w:rPr>
          <w:rFonts w:eastAsia="Arial"/>
          <w:color w:val="000000"/>
          <w:sz w:val="22"/>
          <w:szCs w:val="22"/>
        </w:rPr>
        <w:t>mode</w:t>
      </w:r>
      <w:proofErr w:type="spellEnd"/>
    </w:p>
    <w:p w:rsidR="00A86974" w:rsidRPr="00B11DA8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  <w:lang w:val="en-US"/>
        </w:rPr>
      </w:pPr>
      <w:proofErr w:type="spellStart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Certyfikaty</w:t>
      </w:r>
      <w:proofErr w:type="spellEnd"/>
      <w:r w:rsidRPr="00B11DA8">
        <w:rPr>
          <w:rFonts w:eastAsia="Arial"/>
          <w:color w:val="000000"/>
          <w:sz w:val="22"/>
          <w:szCs w:val="22"/>
          <w:u w:val="single"/>
          <w:lang w:val="en-US"/>
        </w:rPr>
        <w:t>:</w:t>
      </w:r>
      <w:r w:rsidRPr="00B11DA8">
        <w:rPr>
          <w:rFonts w:eastAsia="Arial"/>
          <w:color w:val="000000"/>
          <w:sz w:val="22"/>
          <w:szCs w:val="22"/>
          <w:lang w:val="en-US"/>
        </w:rPr>
        <w:t xml:space="preserve"> CB, CE, 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TÜV-Bauart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 xml:space="preserve">, 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EAC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 xml:space="preserve">, RoHS support, 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ErP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 xml:space="preserve">, </w:t>
      </w:r>
      <w:proofErr w:type="spellStart"/>
      <w:r w:rsidRPr="00B11DA8">
        <w:rPr>
          <w:rFonts w:eastAsia="Arial"/>
          <w:color w:val="000000"/>
          <w:sz w:val="22"/>
          <w:szCs w:val="22"/>
          <w:lang w:val="en-US"/>
        </w:rPr>
        <w:t>WEEE</w:t>
      </w:r>
      <w:proofErr w:type="spellEnd"/>
      <w:r w:rsidRPr="00B11DA8">
        <w:rPr>
          <w:rFonts w:eastAsia="Arial"/>
          <w:color w:val="000000"/>
          <w:sz w:val="22"/>
          <w:szCs w:val="22"/>
          <w:lang w:val="en-US"/>
        </w:rPr>
        <w:t>, REACH (RoHS)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>REACH SVHC:</w:t>
      </w:r>
      <w:r>
        <w:rPr>
          <w:rFonts w:eastAsia="Arial"/>
          <w:color w:val="000000"/>
          <w:sz w:val="22"/>
          <w:szCs w:val="22"/>
        </w:rPr>
        <w:t xml:space="preserve"> powyżej 0.1% ołowiu</w:t>
      </w:r>
    </w:p>
    <w:p w:rsidR="00A86974" w:rsidRDefault="00A86974" w:rsidP="00A86974">
      <w:pPr>
        <w:numPr>
          <w:ilvl w:val="2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76" w:lineRule="auto"/>
        <w:ind w:left="1276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  <w:u w:val="single"/>
        </w:rPr>
        <w:t xml:space="preserve">Wymiary produktu szer. nie mniej niż 1950 </w:t>
      </w:r>
      <w:proofErr w:type="gramStart"/>
      <w:r>
        <w:rPr>
          <w:rFonts w:eastAsia="Arial"/>
          <w:color w:val="000000"/>
          <w:sz w:val="22"/>
          <w:szCs w:val="22"/>
          <w:u w:val="single"/>
        </w:rPr>
        <w:t>mm  x</w:t>
      </w:r>
      <w:proofErr w:type="gramEnd"/>
      <w:r>
        <w:rPr>
          <w:rFonts w:eastAsia="Arial"/>
          <w:color w:val="000000"/>
          <w:sz w:val="22"/>
          <w:szCs w:val="22"/>
          <w:u w:val="single"/>
        </w:rPr>
        <w:t xml:space="preserve"> wys. nie mniej niż 1160 mm,  gł.: nie więcej niż 100 mm.</w:t>
      </w: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układu fotowoltaicznego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tablica będzie zawierała kompletny układ systemu fotowoltaicznego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 którym będzie prezentowany film wyjaśniający kompleksowe działanie systemu fotowoltaicznego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elementy systemu umieszczone na tablicy muszą posiadać wyraźne połączenia, a w przypadku możliwości mogą zostać wykorzystane do dynamicznego pokazu zasady działania systemu fotowoltaicznego.    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 </w:t>
      </w: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układu solarnego – kolektora słonecznego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dopuszcza się uzależnienie głębokości tablicy od wymiarów zastosowanych elementów do budowy tablicy 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zawierała kompletny układ systemu kolektora słonecznego wraz z przekrojem takiego kolektora, 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 którym będzie prezentowany film wyjaśniający kompleksowe działanie systemu solarnego;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elementy systemu umieszczone na tablicy muszą posiadać wyraźne połączenia, a w przypadku możliwości mogą zostać wykorzystane do dynamicznego pokazu zasady działania systemu solarnego.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 </w:t>
      </w: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   </w:t>
      </w:r>
      <w:r>
        <w:rPr>
          <w:rFonts w:ascii="Times New Roman" w:eastAsia="Arial" w:hAnsi="Times New Roman"/>
          <w:b/>
          <w:color w:val="000000"/>
          <w:lang w:val="pl-PL"/>
        </w:rPr>
        <w:t>Tablica laboratoryjna turbiny wiatrowej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tablica będzie zawierała komplety układ systemu turbiny wiatrowej wraz z samą turbiną (dopuszcza się makietę turbiny);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na, którym będzie prezentowany film wyjaśniający kompleksowe działanie turbiny wiatrowej;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lastRenderedPageBreak/>
        <w:t>elementy systemu umieszczone na tablicy muszą posiadać wyraźne połączenia, a w przypadku możliwości mogą zostać wykorzystane do dynamicznego pokazu zasady działania turbiny wiatrowej;</w:t>
      </w:r>
    </w:p>
    <w:p w:rsidR="00A86974" w:rsidRDefault="00A86974" w:rsidP="00A86974">
      <w:pPr>
        <w:pStyle w:val="Akapitzlist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podświetlona. </w:t>
      </w: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turbiny wodnej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tablica będzie zawierała kompletny układ systemu turbiny wodnej wraz z samą turbiną (dopuszcza się makietę turbiny);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na, którym będzie prezentowany film wyjaśniający kompleksowe działanie turbiny wodnej;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elementy systemu umieszczone na tablicy muszą posiadać wyraźne połączenia, a w przypadku możliwości mogą zostać wykorzystane do dynamicznego pokazu zasady działania turbiny wodnej;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podświetlona. </w:t>
      </w:r>
    </w:p>
    <w:p w:rsidR="00A86974" w:rsidRDefault="00A86974" w:rsidP="00A86974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- geotermia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tablica będzie zawierała kompletny układ systemu geotermalnego (z uwagi na rozmiar niektórych elementów systemu dopuszcza się makiety urządzeń);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na, którym będzie prezentowany film wyjaśniający kompleksowe działanie turbiny wodnej;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elementy systemu umieszczone na tablicy muszą posiadać wyraźne połączenia, a w przypadku możliwości mogą zostać wykorzystane do dynamicznego pokazu zasady działania układu geotermalnego;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podświetlona. 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- biomasa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zawierała co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najmniej  2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kompletne układy systemów do przetwarzania biomasy na energię (z uwagi na rozmiar elementów systemu dopuszcza się makiety (miniatury) urządzeń);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na tablicy zostaną również umieszczone przykłady materiałów zaliczanych do biomasy (co najmniej 4) 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na, którym będzie prezentowany film wyjaśniający kompleksowe działanie urządzeń przetwarzających biomasę na energię;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lastRenderedPageBreak/>
        <w:t>elementy systemu umieszczone na tablicy muszą posiadać wyraźne połączenia, a w przypadku możliwości mogą zostać wykorzystane do dynamicznego pokazu zasady działania układu przetwarzania biomasy;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podświetlona. 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rPr>
          <w:rFonts w:ascii="Times New Roman" w:eastAsia="Arial" w:hAnsi="Times New Roman"/>
          <w:color w:val="000000"/>
          <w:lang w:val="pl-PL"/>
        </w:rPr>
      </w:pP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Times New Roman" w:eastAsia="Arial" w:hAnsi="Times New Roman"/>
          <w:b/>
          <w:color w:val="000000"/>
          <w:lang w:val="pl-PL"/>
        </w:rPr>
      </w:pPr>
      <w:r>
        <w:rPr>
          <w:rFonts w:ascii="Times New Roman" w:eastAsia="Arial" w:hAnsi="Times New Roman"/>
          <w:b/>
          <w:color w:val="000000"/>
          <w:lang w:val="pl-PL"/>
        </w:rPr>
        <w:t>Tablica laboratoryjna – magazyn energii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wys., szer., gł.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-  nie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mniej niż 1200x1000 mm, gł. - dopuszcza się uzależnienie głębokości tablicy od wymiarów zastosowanych elementów do budowy tablicy;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tablica będzie zawierała komplety układ systemu do magazynowania energii (z uwagi na rozmiar niektórych elementów systemu dopuszcza się makiety urządzeń);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każdy z elementów systemu będzie posiadał krótki opis;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 przypadku wykorzystania elementów pasywnych lub makiet elementów wchodzących w skład systemu nad lub obok tablicy będzie znajdował się monitor LCD o przekątnej min. 32” na, którym będzie prezentowany film przedstawiający urządzenia i obiekty do magazynowania energii oraz wyjaśniający ich przeznaczenie i rolę w systemach OZE.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elementy systemu umieszczone na tablicy muszą posiadać wyraźne połączenia</w:t>
      </w:r>
    </w:p>
    <w:p w:rsidR="00A86974" w:rsidRDefault="00A86974" w:rsidP="00A86974">
      <w:pPr>
        <w:pStyle w:val="Akapitzlist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tablica będzie opisana i podświetlona. </w:t>
      </w:r>
    </w:p>
    <w:p w:rsidR="00A86974" w:rsidRDefault="00A86974" w:rsidP="00A86974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</w:p>
    <w:p w:rsidR="00A86974" w:rsidRPr="001D3CD2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b/>
          <w:color w:val="000000"/>
          <w:u w:val="single"/>
          <w:lang w:val="pl-PL"/>
        </w:rPr>
      </w:pPr>
      <w:r w:rsidRPr="001D3CD2">
        <w:rPr>
          <w:rFonts w:ascii="Times New Roman" w:eastAsia="Arial" w:hAnsi="Times New Roman"/>
          <w:b/>
          <w:color w:val="000000"/>
          <w:u w:val="single"/>
          <w:lang w:val="pl-PL"/>
        </w:rPr>
        <w:t>Makieta laboratoryjna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wymiary dł. szer. wys. – nie mniej niż 1000x1000x200 mm.  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makieta 3D będzie prezentowała dom jednorodzinny wraz z </w:t>
      </w:r>
      <w:proofErr w:type="gramStart"/>
      <w:r>
        <w:rPr>
          <w:rFonts w:ascii="Times New Roman" w:eastAsia="Arial" w:hAnsi="Times New Roman"/>
          <w:color w:val="000000"/>
          <w:lang w:val="pl-PL"/>
        </w:rPr>
        <w:t>otoczeniem</w:t>
      </w:r>
      <w:proofErr w:type="gramEnd"/>
      <w:r>
        <w:rPr>
          <w:rFonts w:ascii="Times New Roman" w:eastAsia="Arial" w:hAnsi="Times New Roman"/>
          <w:color w:val="000000"/>
          <w:lang w:val="pl-PL"/>
        </w:rPr>
        <w:t xml:space="preserve"> w którym zostaną zaprezentowane wszystkie systemy znajdujące się na tablicach laboratoryjnych tj. system fotowoltaiczny, kolektorów słonecznych, turbiny wiatrowej, turbiny wodnej, przetwarzający biomasę, system geotermii oraz magazynowania energii), 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 z uwagi na konieczność zaprezentowania zasady działania m.in. systemu geotermii i turbiny wodnej, makieta musi uwzględniać konieczność zaprezentowania ukształtowania terenu (turbina wodna) oraz zobrazowaniu przekroju terenu (system geotermii) 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makieta powinna posiadać możliwości wizualizacji poglądowej zasady działania poszczególnych systemów OZE poprzez wykorzystanie efektów dynamicznych, świetlnych i dźwiękowych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z uwagi na konieczność przedstawienia zasady działania paneli fotowoltaicznych oraz kolektorów słonecznych, makieta musi posiadać imitację promieniowania słonecznego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wszystkie urządzenia OZE zaprezentowane na makiecie, posiadające tzw. Funkcję ruchu będą zaprezentowane w formie dynamicznej tzn. (na makiecie będzie obserwowany ruch turbiny wiatrowej, turbiny wodnej.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zasada działania systemu geotermalnego i urządzeń przetwarzających biomasę zostaną zaprezentowane przy wykorzystaniu efektów świetlnych – podobnie jak system magazynowania energii, system fotowoltaiczny i system kolektorów słonecznych    </w:t>
      </w:r>
    </w:p>
    <w:p w:rsidR="00A86974" w:rsidRDefault="00A86974" w:rsidP="00A86974">
      <w:pPr>
        <w:pStyle w:val="Akapitzlist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makieta będzie posiadała opis i podświetlenie. </w:t>
      </w:r>
    </w:p>
    <w:p w:rsidR="00A86974" w:rsidRDefault="00A86974" w:rsidP="00A86974">
      <w:pPr>
        <w:pStyle w:val="Akapitzlist"/>
        <w:pBdr>
          <w:top w:val="none" w:sz="4" w:space="0" w:color="000000"/>
          <w:left w:val="none" w:sz="4" w:space="0" w:color="000000"/>
          <w:bottom w:val="none" w:sz="4" w:space="5" w:color="000000"/>
          <w:right w:val="none" w:sz="4" w:space="0" w:color="000000"/>
        </w:pBdr>
        <w:spacing w:after="160"/>
        <w:ind w:left="1134"/>
        <w:jc w:val="both"/>
        <w:rPr>
          <w:rFonts w:ascii="Times New Roman" w:eastAsia="Arial" w:hAnsi="Times New Roman"/>
          <w:color w:val="000000"/>
          <w:lang w:val="pl-PL"/>
        </w:rPr>
      </w:pPr>
    </w:p>
    <w:p w:rsidR="00A86974" w:rsidRDefault="00A86974" w:rsidP="00A86974">
      <w:pPr>
        <w:pStyle w:val="Akapitzlist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jc w:val="both"/>
        <w:rPr>
          <w:rFonts w:ascii="Times New Roman" w:eastAsia="Arial" w:hAnsi="Times New Roman"/>
          <w:color w:val="000000"/>
          <w:u w:val="single"/>
          <w:lang w:val="pl-PL"/>
        </w:rPr>
      </w:pPr>
      <w:r>
        <w:rPr>
          <w:rFonts w:ascii="Times New Roman" w:eastAsia="Arial" w:hAnsi="Times New Roman"/>
          <w:color w:val="000000"/>
          <w:u w:val="single"/>
          <w:lang w:val="pl-PL"/>
        </w:rPr>
        <w:t xml:space="preserve">Dostosowanie infrastruktury elektrycznej I teleinformatycznej sali dydaktycznej </w:t>
      </w:r>
    </w:p>
    <w:p w:rsidR="00A86974" w:rsidRDefault="00A86974" w:rsidP="00A86974">
      <w:pPr>
        <w:pStyle w:val="Akapitzlist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 w:hanging="283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sala zostanie wyposażona w niezbędną do funkcjonowania nowych urządzeń sieć elektryczną;</w:t>
      </w:r>
    </w:p>
    <w:p w:rsidR="00A86974" w:rsidRPr="00B11DA8" w:rsidRDefault="00A86974" w:rsidP="00B11DA8">
      <w:pPr>
        <w:pStyle w:val="Akapitzlist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ind w:left="1134" w:hanging="283"/>
        <w:jc w:val="both"/>
        <w:rPr>
          <w:rFonts w:ascii="Times New Roman" w:eastAsia="Arial" w:hAnsi="Times New Roman"/>
          <w:color w:val="000000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 xml:space="preserve">sala zostanie </w:t>
      </w:r>
      <w:r>
        <w:rPr>
          <w:rFonts w:ascii="Times New Roman" w:eastAsia="Arial" w:hAnsi="Times New Roman"/>
          <w:color w:val="000000"/>
          <w:lang w:val="pl-PL"/>
        </w:rPr>
        <w:fldChar w:fldCharType="begin"/>
      </w:r>
      <w:r>
        <w:rPr>
          <w:rFonts w:ascii="Times New Roman" w:eastAsia="Arial" w:hAnsi="Times New Roman"/>
          <w:color w:val="000000"/>
          <w:lang w:val="pl-PL"/>
        </w:rPr>
        <w:instrText xml:space="preserve"> LISTNUM </w:instrText>
      </w:r>
      <w:r>
        <w:rPr>
          <w:rFonts w:ascii="Times New Roman" w:eastAsia="Arial" w:hAnsi="Times New Roman"/>
          <w:color w:val="000000"/>
          <w:lang w:val="pl-PL"/>
        </w:rPr>
        <w:fldChar w:fldCharType="end"/>
      </w:r>
      <w:r>
        <w:rPr>
          <w:rFonts w:ascii="Times New Roman" w:eastAsia="Arial" w:hAnsi="Times New Roman"/>
          <w:color w:val="000000"/>
          <w:lang w:val="pl-PL"/>
        </w:rPr>
        <w:t xml:space="preserve">również dostosowane w wymaganą infrastrukturę teleinformatyczną (przewody, szafa </w:t>
      </w:r>
      <w:proofErr w:type="spellStart"/>
      <w:r>
        <w:rPr>
          <w:rFonts w:ascii="Times New Roman" w:eastAsia="Arial" w:hAnsi="Times New Roman"/>
          <w:color w:val="000000"/>
          <w:lang w:val="pl-PL"/>
        </w:rPr>
        <w:t>rack</w:t>
      </w:r>
      <w:proofErr w:type="spellEnd"/>
      <w:r>
        <w:rPr>
          <w:rFonts w:ascii="Times New Roman" w:eastAsia="Arial" w:hAnsi="Times New Roman"/>
          <w:color w:val="000000"/>
          <w:lang w:val="pl-PL"/>
        </w:rPr>
        <w:t xml:space="preserve">) niezbędne do funkcjonowania symulatora oraz urządzeń zainstalowanych w sali. </w:t>
      </w:r>
    </w:p>
    <w:p w:rsidR="00A86974" w:rsidRDefault="00A86974" w:rsidP="00A86974">
      <w:pPr>
        <w:pStyle w:val="Nagwek1"/>
        <w:rPr>
          <w:rFonts w:ascii="Times New Roman" w:hAnsi="Times New Roman" w:cs="Times New Roman"/>
          <w:sz w:val="22"/>
          <w:highlight w:val="white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lastRenderedPageBreak/>
        <w:t>Klauzula jakościowa</w:t>
      </w:r>
    </w:p>
    <w:p w:rsidR="00A86974" w:rsidRDefault="00A86974" w:rsidP="00A86974">
      <w:pPr>
        <w:spacing w:line="360" w:lineRule="auto"/>
        <w:ind w:left="426" w:firstLine="28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Odbiór jakościowy przedmiotu zamówienia przeprowadzony będzie we wskazanym miejscu montażu przez komisję zdawczo – odbiorczą złożoną z przedstawicieli Zamawiającego, Użytkownika i Wykonawcy.</w:t>
      </w:r>
    </w:p>
    <w:p w:rsidR="00A86974" w:rsidRDefault="00A86974" w:rsidP="00A86974">
      <w:pPr>
        <w:rPr>
          <w:rFonts w:eastAsia="Arial"/>
        </w:rPr>
      </w:pPr>
    </w:p>
    <w:p w:rsidR="00A86974" w:rsidRDefault="00A86974" w:rsidP="00A86974">
      <w:pPr>
        <w:pStyle w:val="Nagwek1"/>
        <w:spacing w:line="276" w:lineRule="auto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Wymagania gwarancyjne oraz serwisowe</w:t>
      </w:r>
    </w:p>
    <w:p w:rsidR="00A86974" w:rsidRDefault="00A86974" w:rsidP="00A86974">
      <w:pPr>
        <w:pStyle w:val="Nagwek5"/>
        <w:spacing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odpowiada za wady prawne i fizyczne, ujawnione w dostarczonych wyrobach, ponosi z tego tytułu wszelkie zobowiązania. Jest odpowiedzialny względem Zamawiającego, jeżeli dostarczone wyroby:</w:t>
      </w:r>
    </w:p>
    <w:p w:rsidR="00A86974" w:rsidRDefault="00A86974" w:rsidP="00A86974">
      <w:pPr>
        <w:pStyle w:val="Akapitzlist1"/>
        <w:numPr>
          <w:ilvl w:val="0"/>
          <w:numId w:val="19"/>
        </w:numPr>
        <w:spacing w:after="0"/>
        <w:ind w:left="993" w:hanging="636"/>
        <w:contextualSpacing w:val="0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 xml:space="preserve">stanowią własność osoby </w:t>
      </w:r>
      <w:proofErr w:type="gramStart"/>
      <w:r>
        <w:rPr>
          <w:rFonts w:ascii="Times New Roman" w:eastAsia="Arial" w:hAnsi="Times New Roman"/>
          <w:lang w:val="pl-PL"/>
        </w:rPr>
        <w:t>trzeciej,</w:t>
      </w:r>
      <w:proofErr w:type="gramEnd"/>
      <w:r>
        <w:rPr>
          <w:rFonts w:ascii="Times New Roman" w:eastAsia="Arial" w:hAnsi="Times New Roman"/>
          <w:lang w:val="pl-PL"/>
        </w:rPr>
        <w:t xml:space="preserve"> albo jeżeli są obciążone prawem osoby trzeciej;</w:t>
      </w:r>
    </w:p>
    <w:p w:rsidR="00A86974" w:rsidRDefault="00A86974" w:rsidP="00A86974">
      <w:pPr>
        <w:pStyle w:val="Akapitzlist1"/>
        <w:numPr>
          <w:ilvl w:val="0"/>
          <w:numId w:val="19"/>
        </w:numPr>
        <w:spacing w:after="0"/>
        <w:ind w:left="993" w:hanging="636"/>
        <w:contextualSpacing w:val="0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lang w:val="pl-PL"/>
        </w:rPr>
        <w:t>mają wadę zmniejszającą ich wartość lub użyteczność wynikającą z ich przeznaczenia, nie mają właściwości wymaganych przez Zamawiającego, albo jeżeli dostarczono je w stanie niekompletnym.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zapewni pełną obsługę serwisową w okresie trwania gwarancji.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O wadzie fizycznej wyrobów Zamawiający zawiadamia Wykonawcę bezpośrednio lub za pośrednictwem reprezentującej go jednostki resortu obrony narodowej, użytkującej wyroby objęte gwarancją w chwili ujawnienia w nich wad fizycznych, w celu realizacji przysługujących z tego tytułu uprawnień. Formę zawiadomienia stanowi „Protokół reklamacji" wykonany przez Zamawiającego lub jego reprezentanta, przekazany Wykonawcy w terminie 7 dni od daty ujawnienia wady. 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jest obowiązany do usunięcia wad fizycznych wyrobów lub do dostarczenia wyrobów wolnych od wad, jeżeli wady te ujawnią się w okresie gwarancji.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Jeżeli w wykonaniu swoich obowiązków Wykonawca dostarczył Zamawiającemu zamiast wyrobów wadliwych takie same wyroby nowe - wolne od wad, termin gwarancji biegnie na nowo od chwili ich dostarczenia. Wymiany wyrobów Wykonawca dokona bez żadnej dopłaty, nawet gdyby ceny uległy zmianie.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bookmarkStart w:id="0" w:name="_Ref125096118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Na wyrób Wykonawca udzieli gwarancji na 24 miesiące, licząc od daty przekazania wyrobu Użytkownikowi (Podpisania Protokołu Zdawczo-Odbiorczego), na zasadach zgodnych z aktualnie obowiązującą dokumentacją techniczną zatwierdzoną do produkcji technicznej oraz zapewni serwis pogwarancyjny przez 5 lat (uwzględniający aktualny postęp technologiczny w danym czasie) licząc od daty upływu terminu gwarancji. Wykonawca zapewni dostęp do części zamiennych na okres minimum 10 lat od daty przekazania wyrobu Użytkownikowi.</w:t>
      </w:r>
      <w:bookmarkEnd w:id="0"/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Zamawiający może wykorzystać uprawnienia z tytułu gwarancji za wady fizyczne wyrobów niezależnie od uprawnień wynikających z rękojmi.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Gwarancja obejmuje również wyroby i usługi nabyte u kooperantów.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Czas reakcji serwisu - do końca następnego dnia roboczego od chwili zgłoszenia.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lastRenderedPageBreak/>
        <w:t>Utrata roszczeń z tytułu wad fizycznych nie następuje pomimo upływu terminu gwarancji, jeżeli Wykonawca wadę zataił.</w:t>
      </w:r>
    </w:p>
    <w:p w:rsidR="00A86974" w:rsidRDefault="00A86974" w:rsidP="00A86974">
      <w:pPr>
        <w:pStyle w:val="Nagwek5"/>
        <w:spacing w:before="120" w:line="276" w:lineRule="auto"/>
        <w:ind w:left="993" w:hanging="636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 przypadku stwierdzenia w okresie gwarancji wad fizycznych w dostarczonych wyrobach Wykonawca: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Rozpatrzy „Protokół reklamacji" w ciągu 7 dni, licząc od daty jego otrzymania;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bookmarkStart w:id="1" w:name="_Ref125096150"/>
      <w:r>
        <w:rPr>
          <w:rFonts w:ascii="Times New Roman" w:hAnsi="Times New Roman" w:cs="Times New Roman"/>
          <w:b w:val="0"/>
          <w:lang w:val="pl-PL"/>
        </w:rPr>
        <w:t>Usprawni wadliwe wyroby w terminie 21 dni, licząc od daty otrzymania „Protokołu reklamacji":</w:t>
      </w:r>
      <w:bookmarkEnd w:id="1"/>
    </w:p>
    <w:p w:rsidR="00A86974" w:rsidRDefault="00A86974" w:rsidP="00A86974">
      <w:pPr>
        <w:pStyle w:val="Akapitzlist1"/>
        <w:numPr>
          <w:ilvl w:val="0"/>
          <w:numId w:val="16"/>
        </w:numPr>
        <w:spacing w:after="0"/>
        <w:ind w:left="2268" w:hanging="425"/>
        <w:contextualSpacing w:val="0"/>
        <w:jc w:val="both"/>
        <w:rPr>
          <w:rFonts w:ascii="Times New Roman" w:eastAsia="Arial" w:hAnsi="Times New Roman"/>
          <w:lang w:val="pl-PL"/>
        </w:rPr>
      </w:pPr>
      <w:r>
        <w:rPr>
          <w:rFonts w:ascii="Times New Roman" w:eastAsia="Arial" w:hAnsi="Times New Roman"/>
          <w:color w:val="000000"/>
          <w:lang w:val="pl-PL"/>
        </w:rPr>
        <w:t>usunie wady w dostarczonych wyrobach w miejscu, w którym zostały one ujawnione lub na własny koszt dostarczy je do swojej siedziby, w celu ich usprawnienia. Wykonawca ponosi wszystkie koszty związane z usunięciem niesprawności;</w:t>
      </w:r>
    </w:p>
    <w:p w:rsidR="00A86974" w:rsidRDefault="00A86974" w:rsidP="00A86974">
      <w:pPr>
        <w:numPr>
          <w:ilvl w:val="0"/>
          <w:numId w:val="16"/>
        </w:numPr>
        <w:spacing w:line="276" w:lineRule="auto"/>
        <w:ind w:left="2268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wyroby wolne od wad dostarczy na własny koszt do miejsca, </w:t>
      </w:r>
      <w:r>
        <w:rPr>
          <w:rFonts w:eastAsia="Arial"/>
          <w:color w:val="000000"/>
          <w:sz w:val="22"/>
          <w:szCs w:val="22"/>
        </w:rPr>
        <w:br/>
        <w:t xml:space="preserve">w którym wady zostały ujawnione w terminie określonym </w:t>
      </w:r>
      <w:r>
        <w:rPr>
          <w:rFonts w:eastAsia="Arial"/>
          <w:color w:val="000000"/>
          <w:sz w:val="22"/>
          <w:szCs w:val="22"/>
        </w:rPr>
        <w:br/>
        <w:t xml:space="preserve">w pkt </w:t>
      </w:r>
      <w:r>
        <w:rPr>
          <w:rFonts w:eastAsia="Arial"/>
          <w:color w:val="000000"/>
          <w:sz w:val="22"/>
          <w:szCs w:val="22"/>
        </w:rPr>
        <w:fldChar w:fldCharType="begin"/>
      </w:r>
      <w:r>
        <w:rPr>
          <w:rFonts w:eastAsia="Arial"/>
          <w:color w:val="000000"/>
          <w:sz w:val="22"/>
          <w:szCs w:val="22"/>
        </w:rPr>
        <w:instrText xml:space="preserve"> REF _Ref125096118 \r \h  \* MERGEFORMAT </w:instrText>
      </w:r>
      <w:r>
        <w:rPr>
          <w:rFonts w:eastAsia="Arial"/>
          <w:color w:val="000000"/>
          <w:sz w:val="22"/>
          <w:szCs w:val="22"/>
        </w:rPr>
      </w:r>
      <w:r>
        <w:rPr>
          <w:rFonts w:eastAsia="Arial"/>
          <w:color w:val="000000"/>
          <w:sz w:val="22"/>
          <w:szCs w:val="22"/>
        </w:rPr>
        <w:fldChar w:fldCharType="separate"/>
      </w:r>
      <w:r>
        <w:rPr>
          <w:rFonts w:eastAsia="Arial"/>
          <w:color w:val="000000"/>
          <w:sz w:val="22"/>
          <w:szCs w:val="22"/>
        </w:rPr>
        <w:t>5.7</w:t>
      </w:r>
      <w:r>
        <w:rPr>
          <w:rFonts w:eastAsia="Arial"/>
          <w:color w:val="000000"/>
          <w:sz w:val="22"/>
          <w:szCs w:val="22"/>
        </w:rPr>
        <w:fldChar w:fldCharType="end"/>
      </w:r>
      <w:r>
        <w:rPr>
          <w:rFonts w:eastAsia="Arial"/>
          <w:color w:val="000000"/>
          <w:sz w:val="22"/>
          <w:szCs w:val="22"/>
        </w:rPr>
        <w:t>;</w:t>
      </w:r>
    </w:p>
    <w:p w:rsidR="00A86974" w:rsidRDefault="00A86974" w:rsidP="00A86974">
      <w:pPr>
        <w:numPr>
          <w:ilvl w:val="0"/>
          <w:numId w:val="16"/>
        </w:numPr>
        <w:spacing w:line="276" w:lineRule="auto"/>
        <w:ind w:left="2268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jeżeli naprawa będzie związana z zamówieniem części u kooperantów termin usprawnienia może być dłuższy niż określony w pkt </w:t>
      </w:r>
      <w:r>
        <w:rPr>
          <w:rFonts w:eastAsia="Arial"/>
          <w:color w:val="000000"/>
          <w:sz w:val="22"/>
          <w:szCs w:val="22"/>
        </w:rPr>
        <w:fldChar w:fldCharType="begin"/>
      </w:r>
      <w:r>
        <w:rPr>
          <w:rFonts w:eastAsia="Arial"/>
          <w:color w:val="000000"/>
          <w:sz w:val="22"/>
          <w:szCs w:val="22"/>
        </w:rPr>
        <w:instrText xml:space="preserve"> REF _Ref125096150 \r \h  \* MERGEFORMAT </w:instrText>
      </w:r>
      <w:r>
        <w:rPr>
          <w:rFonts w:eastAsia="Arial"/>
          <w:color w:val="000000"/>
          <w:sz w:val="22"/>
          <w:szCs w:val="22"/>
        </w:rPr>
      </w:r>
      <w:r>
        <w:rPr>
          <w:rFonts w:eastAsia="Arial"/>
          <w:color w:val="000000"/>
          <w:sz w:val="22"/>
          <w:szCs w:val="22"/>
        </w:rPr>
        <w:fldChar w:fldCharType="separate"/>
      </w:r>
      <w:r>
        <w:rPr>
          <w:rFonts w:eastAsia="Arial"/>
          <w:color w:val="000000"/>
          <w:sz w:val="22"/>
          <w:szCs w:val="22"/>
        </w:rPr>
        <w:t>5.12.2</w:t>
      </w:r>
      <w:r>
        <w:rPr>
          <w:rFonts w:eastAsia="Arial"/>
          <w:color w:val="000000"/>
          <w:sz w:val="22"/>
          <w:szCs w:val="22"/>
        </w:rPr>
        <w:fldChar w:fldCharType="end"/>
      </w:r>
      <w:r>
        <w:rPr>
          <w:rFonts w:eastAsia="Arial"/>
          <w:color w:val="000000"/>
          <w:sz w:val="22"/>
          <w:szCs w:val="22"/>
        </w:rPr>
        <w:t xml:space="preserve"> jednak nie może przekroczyć 90 dni.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843" w:hanging="85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Przedłuży termin gwarancji o czas, w którym wskutek wad wyrobu, Użytkownik nie mógł z niego korzystać;</w:t>
      </w:r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bookmarkStart w:id="2" w:name="_Ref125096370"/>
      <w:r>
        <w:rPr>
          <w:rFonts w:ascii="Times New Roman" w:hAnsi="Times New Roman" w:cs="Times New Roman"/>
          <w:b w:val="0"/>
          <w:lang w:val="pl-PL"/>
        </w:rPr>
        <w:t xml:space="preserve">Wymieni wadliwy wyrób na nowy w terminie 45 dni, licząc od daty otrzymania „Protokołu reklamacyjnego", jeżeli nie dotrzymał terminu naprawy określonego w pkt </w:t>
      </w:r>
      <w:r>
        <w:rPr>
          <w:rFonts w:ascii="Times New Roman" w:hAnsi="Times New Roman" w:cs="Times New Roman"/>
          <w:b w:val="0"/>
          <w:lang w:val="pl-PL"/>
        </w:rPr>
        <w:fldChar w:fldCharType="begin"/>
      </w:r>
      <w:r>
        <w:rPr>
          <w:rFonts w:ascii="Times New Roman" w:hAnsi="Times New Roman" w:cs="Times New Roman"/>
          <w:b w:val="0"/>
          <w:lang w:val="pl-PL"/>
        </w:rPr>
        <w:instrText xml:space="preserve"> REF _Ref125096150 \r \h  \* MERGEFORMAT </w:instrText>
      </w:r>
      <w:r>
        <w:rPr>
          <w:rFonts w:ascii="Times New Roman" w:hAnsi="Times New Roman" w:cs="Times New Roman"/>
          <w:b w:val="0"/>
          <w:lang w:val="pl-PL"/>
        </w:rPr>
      </w:r>
      <w:r>
        <w:rPr>
          <w:rFonts w:ascii="Times New Roman" w:hAnsi="Times New Roman" w:cs="Times New Roman"/>
          <w:b w:val="0"/>
          <w:lang w:val="pl-PL"/>
        </w:rPr>
        <w:fldChar w:fldCharType="separate"/>
      </w:r>
      <w:r>
        <w:rPr>
          <w:rFonts w:ascii="Times New Roman" w:hAnsi="Times New Roman" w:cs="Times New Roman"/>
          <w:b w:val="0"/>
          <w:lang w:val="pl-PL"/>
        </w:rPr>
        <w:t>5.12.2</w:t>
      </w:r>
      <w:r>
        <w:rPr>
          <w:rFonts w:ascii="Times New Roman" w:hAnsi="Times New Roman" w:cs="Times New Roman"/>
          <w:b w:val="0"/>
          <w:lang w:val="pl-PL"/>
        </w:rPr>
        <w:fldChar w:fldCharType="end"/>
      </w:r>
      <w:r>
        <w:rPr>
          <w:rFonts w:ascii="Times New Roman" w:hAnsi="Times New Roman" w:cs="Times New Roman"/>
          <w:b w:val="0"/>
          <w:lang w:val="pl-PL"/>
        </w:rPr>
        <w:t>;</w:t>
      </w:r>
      <w:bookmarkEnd w:id="2"/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Dokona stosownych zapisów w karcie gwarancyjnej, dotyczących zakresu wykonanych napraw oraz zmiany okresu udzielonej gwarancji;</w:t>
      </w:r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Ponosi odpowiedzialność z tytułu przypadkowej utraty lub uszkodzenia wyrobu w czasie od przyjęcia go do naprawy i do czasu przekazania sprawnego Użytkownikowi w </w:t>
      </w:r>
      <w:proofErr w:type="gramStart"/>
      <w:r>
        <w:rPr>
          <w:rFonts w:ascii="Times New Roman" w:hAnsi="Times New Roman" w:cs="Times New Roman"/>
          <w:b w:val="0"/>
          <w:lang w:val="pl-PL"/>
        </w:rPr>
        <w:t>miejscu  ujawnienia</w:t>
      </w:r>
      <w:proofErr w:type="gramEnd"/>
      <w:r>
        <w:rPr>
          <w:rFonts w:ascii="Times New Roman" w:hAnsi="Times New Roman" w:cs="Times New Roman"/>
          <w:b w:val="0"/>
          <w:lang w:val="pl-PL"/>
        </w:rPr>
        <w:t xml:space="preserve"> wady;</w:t>
      </w:r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843" w:hanging="850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Zwróci Zamawiającemu równowartość wadliwych wyrobów w cenach ich zakupu, powiększoną o karę umowną w wysokości 10 % ich wartości, jeżeli nie wykona zobowiązań wynikających z pkt  </w:t>
      </w:r>
      <w:r>
        <w:rPr>
          <w:rFonts w:ascii="Times New Roman" w:hAnsi="Times New Roman" w:cs="Times New Roman"/>
          <w:b w:val="0"/>
          <w:lang w:val="pl-PL"/>
        </w:rPr>
        <w:fldChar w:fldCharType="begin"/>
      </w:r>
      <w:r>
        <w:rPr>
          <w:rFonts w:ascii="Times New Roman" w:hAnsi="Times New Roman" w:cs="Times New Roman"/>
          <w:b w:val="0"/>
          <w:lang w:val="pl-PL"/>
        </w:rPr>
        <w:instrText xml:space="preserve"> REF _Ref125096150 \r \h  \* MERGEFORMAT </w:instrText>
      </w:r>
      <w:r>
        <w:rPr>
          <w:rFonts w:ascii="Times New Roman" w:hAnsi="Times New Roman" w:cs="Times New Roman"/>
          <w:b w:val="0"/>
          <w:lang w:val="pl-PL"/>
        </w:rPr>
      </w:r>
      <w:r>
        <w:rPr>
          <w:rFonts w:ascii="Times New Roman" w:hAnsi="Times New Roman" w:cs="Times New Roman"/>
          <w:b w:val="0"/>
          <w:lang w:val="pl-PL"/>
        </w:rPr>
        <w:fldChar w:fldCharType="separate"/>
      </w:r>
      <w:r>
        <w:rPr>
          <w:rFonts w:ascii="Times New Roman" w:hAnsi="Times New Roman" w:cs="Times New Roman"/>
          <w:b w:val="0"/>
          <w:lang w:val="pl-PL"/>
        </w:rPr>
        <w:t>5.12.2</w:t>
      </w:r>
      <w:r>
        <w:rPr>
          <w:rFonts w:ascii="Times New Roman" w:hAnsi="Times New Roman" w:cs="Times New Roman"/>
          <w:b w:val="0"/>
          <w:lang w:val="pl-PL"/>
        </w:rPr>
        <w:fldChar w:fldCharType="end"/>
      </w:r>
      <w:r>
        <w:rPr>
          <w:rFonts w:ascii="Times New Roman" w:hAnsi="Times New Roman" w:cs="Times New Roman"/>
          <w:b w:val="0"/>
          <w:lang w:val="pl-PL"/>
        </w:rPr>
        <w:t xml:space="preserve"> i </w:t>
      </w:r>
      <w:r>
        <w:rPr>
          <w:rFonts w:ascii="Times New Roman" w:hAnsi="Times New Roman" w:cs="Times New Roman"/>
          <w:b w:val="0"/>
          <w:lang w:val="pl-PL"/>
        </w:rPr>
        <w:fldChar w:fldCharType="begin"/>
      </w:r>
      <w:r>
        <w:rPr>
          <w:rFonts w:ascii="Times New Roman" w:hAnsi="Times New Roman" w:cs="Times New Roman"/>
          <w:b w:val="0"/>
          <w:lang w:val="pl-PL"/>
        </w:rPr>
        <w:instrText xml:space="preserve"> REF _Ref125096370 \r \h  \* MERGEFORMAT </w:instrText>
      </w:r>
      <w:r>
        <w:rPr>
          <w:rFonts w:ascii="Times New Roman" w:hAnsi="Times New Roman" w:cs="Times New Roman"/>
          <w:b w:val="0"/>
          <w:lang w:val="pl-PL"/>
        </w:rPr>
      </w:r>
      <w:r>
        <w:rPr>
          <w:rFonts w:ascii="Times New Roman" w:hAnsi="Times New Roman" w:cs="Times New Roman"/>
          <w:b w:val="0"/>
          <w:lang w:val="pl-PL"/>
        </w:rPr>
        <w:fldChar w:fldCharType="separate"/>
      </w:r>
      <w:r>
        <w:rPr>
          <w:rFonts w:ascii="Times New Roman" w:hAnsi="Times New Roman" w:cs="Times New Roman"/>
          <w:b w:val="0"/>
          <w:lang w:val="pl-PL"/>
        </w:rPr>
        <w:t>5.12.4</w:t>
      </w:r>
      <w:r>
        <w:rPr>
          <w:rFonts w:ascii="Times New Roman" w:hAnsi="Times New Roman" w:cs="Times New Roman"/>
          <w:b w:val="0"/>
          <w:lang w:val="pl-PL"/>
        </w:rPr>
        <w:fldChar w:fldCharType="end"/>
      </w:r>
      <w:r>
        <w:rPr>
          <w:rFonts w:ascii="Times New Roman" w:hAnsi="Times New Roman" w:cs="Times New Roman"/>
          <w:b w:val="0"/>
          <w:lang w:val="pl-PL"/>
        </w:rPr>
        <w:t>.</w:t>
      </w:r>
    </w:p>
    <w:p w:rsidR="00A86974" w:rsidRDefault="00A86974" w:rsidP="00A86974">
      <w:pPr>
        <w:pStyle w:val="Nagwek5"/>
        <w:spacing w:before="120" w:line="276" w:lineRule="auto"/>
        <w:ind w:left="993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Wykonawca powiadomi Zamawiającego o nieprawidłowościach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br/>
        <w:t>w eksploatacji/użytkowaniu dostarczonych wyrobów oraz utrudnieniach w jego usprawnianiu, jeśli takie wystąpią ze strony Użytkownika.</w:t>
      </w:r>
    </w:p>
    <w:p w:rsidR="00A86974" w:rsidRDefault="00A86974" w:rsidP="00A86974">
      <w:pPr>
        <w:pStyle w:val="Nagwek5"/>
        <w:spacing w:before="120" w:line="276" w:lineRule="auto"/>
        <w:ind w:left="993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zobowiązany jest do niezwłocznego naprawienia w pełnym zakresie wszystkich szkód powstałych w wyniku dostarczenia wadliwego wyrobu.</w:t>
      </w:r>
    </w:p>
    <w:p w:rsidR="00A86974" w:rsidRDefault="00A86974" w:rsidP="00A86974">
      <w:pPr>
        <w:pStyle w:val="Nagwek5"/>
        <w:spacing w:before="120" w:line="276" w:lineRule="auto"/>
        <w:ind w:left="993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 przypadku awarii dysków twardych dysk pozostaje u Zamawiającego – wymagane jest dołączenie do oferty oświadczenia podmiotu realizującego serwis lub Producenta sprzętu o spełnieniu tego warunku.</w:t>
      </w:r>
    </w:p>
    <w:p w:rsidR="00A86974" w:rsidRDefault="00A86974" w:rsidP="00A86974">
      <w:pPr>
        <w:pStyle w:val="Nagwek5"/>
        <w:spacing w:before="120" w:line="276" w:lineRule="auto"/>
        <w:ind w:left="993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Możliwość telefonicznego sprawdzenia konfiguracji sprzętowej komputera oraz warunków gwarancji po podaniu numeru seryjnego bezpośrednio u Producenta lub jego przedstawiciela.</w:t>
      </w:r>
    </w:p>
    <w:p w:rsidR="00A86974" w:rsidRDefault="00A86974" w:rsidP="00A86974">
      <w:pPr>
        <w:pStyle w:val="Nagwek5"/>
        <w:spacing w:before="120" w:line="276" w:lineRule="auto"/>
        <w:ind w:left="993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Dostęp do najnowszych sterowników i uaktualnień na stronie Producenta stacji roboczej, realizowany poprzez podanie na dedykowanej stronie internetowej Producenta numeru seryjnego lub modelu komputera – do oferty należy dołączyć link strony.</w:t>
      </w:r>
    </w:p>
    <w:p w:rsidR="00A86974" w:rsidRDefault="00A86974" w:rsidP="00A86974">
      <w:pPr>
        <w:pStyle w:val="Nagwek1"/>
        <w:spacing w:line="276" w:lineRule="auto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lastRenderedPageBreak/>
        <w:t>Ochrona środowiska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Komputer z wewnętrznym zasilaniem charakteryzują się min. 80% sprawności przy 20 %, 50 % i 100 % wydajności znamionowej.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Współczynnik mocy &gt; 0.9 przy 100% wydajności znamionowej.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Tryb czuwania dostępny także w pracy sieciowej.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Zastosowanie Zaawansowanego Interfejsu Zarządzania Konfiguracją i Energią (ACPI) lub innego równoważnego systemu.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Wymagania odnośnie części wykonanych z tworzyw sztucznych: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nie zawierają ołowiu i kadmu;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są zbudowane z jednego polimeru lub wielu kompatybilnych;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nie zawierają elementów z metalu, których nie dałoby się wydzielić przy użyciu prostych narzędzi;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nie zawierają polibromowanego </w:t>
      </w:r>
      <w:proofErr w:type="spellStart"/>
      <w:r>
        <w:rPr>
          <w:rFonts w:eastAsia="Arial"/>
          <w:color w:val="000000"/>
          <w:sz w:val="22"/>
          <w:szCs w:val="22"/>
        </w:rPr>
        <w:t>bifenylu</w:t>
      </w:r>
      <w:proofErr w:type="spellEnd"/>
      <w:r>
        <w:rPr>
          <w:rFonts w:eastAsia="Arial"/>
          <w:color w:val="000000"/>
          <w:sz w:val="22"/>
          <w:szCs w:val="22"/>
        </w:rPr>
        <w:t xml:space="preserve"> ani polibromowanych środków zmniejszających palność wymienionych artykule 4 Dyrektywy 2002/95/WE;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nie zawierają </w:t>
      </w:r>
      <w:proofErr w:type="spellStart"/>
      <w:r>
        <w:rPr>
          <w:rFonts w:eastAsia="Arial"/>
          <w:color w:val="000000"/>
          <w:sz w:val="22"/>
          <w:szCs w:val="22"/>
        </w:rPr>
        <w:t>chloroparafinowych</w:t>
      </w:r>
      <w:proofErr w:type="spellEnd"/>
      <w:r>
        <w:rPr>
          <w:rFonts w:eastAsia="Arial"/>
          <w:color w:val="000000"/>
          <w:sz w:val="22"/>
          <w:szCs w:val="22"/>
        </w:rPr>
        <w:t xml:space="preserve"> środków zmniejszających palność zbudowanych z substancji zawierających 10-17 atomów węgla </w:t>
      </w:r>
      <w:r>
        <w:rPr>
          <w:rFonts w:eastAsia="Arial"/>
          <w:color w:val="000000"/>
          <w:sz w:val="22"/>
          <w:szCs w:val="22"/>
        </w:rPr>
        <w:br/>
        <w:t>i o zawartości chloru przekraczającej 50% masowych;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elementy cięższe niż 25 g, nie zawierają substancji zmniejszających palność;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nie zawierają substancji niebezpiecznych dla zdrowia i środowiska zdefiniowanych w Dyrektywie 67/548/EWG;</w:t>
      </w:r>
    </w:p>
    <w:p w:rsidR="00A86974" w:rsidRDefault="00A86974" w:rsidP="00A86974">
      <w:pPr>
        <w:numPr>
          <w:ilvl w:val="0"/>
          <w:numId w:val="17"/>
        </w:numPr>
        <w:spacing w:before="120" w:line="276" w:lineRule="auto"/>
        <w:ind w:left="1276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posiadają trwałe oznakowanie umożliwiające identyfikację składu, zgodną </w:t>
      </w:r>
      <w:r>
        <w:rPr>
          <w:rFonts w:eastAsia="Arial"/>
          <w:color w:val="000000"/>
          <w:sz w:val="22"/>
          <w:szCs w:val="22"/>
        </w:rPr>
        <w:br/>
        <w:t>z normą ISO 11469:2000.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Substancje niebezpieczne są łatwe do wydzielenia.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Baterie zawierają nie więcej niż 0.0001 % rtęci, 0.001 % kadmu lub 0.01% ołowiu (% masowe).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Łatwa wymiana takich elementów systemu jak pamięć, twardy dysk, karta graficzna, napędy CD-ROM i DVD.</w:t>
      </w:r>
    </w:p>
    <w:p w:rsidR="00A86974" w:rsidRDefault="00A86974" w:rsidP="00A86974">
      <w:pPr>
        <w:pStyle w:val="Nagwek5"/>
        <w:spacing w:before="120" w:line="276" w:lineRule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Standardowe i łatwo dostępne połączenia podzespołów.</w:t>
      </w:r>
    </w:p>
    <w:p w:rsidR="00A86974" w:rsidRDefault="00A86974" w:rsidP="008B0C6F">
      <w:pPr>
        <w:pStyle w:val="Nagwek1"/>
        <w:spacing w:before="120" w:after="120" w:line="276" w:lineRule="auto"/>
        <w:ind w:left="283" w:hanging="28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Sposób utylizacji lub zagospodarowania aktywów trwałych:</w:t>
      </w:r>
    </w:p>
    <w:p w:rsidR="00A86974" w:rsidRDefault="00A86974" w:rsidP="00A86974">
      <w:pPr>
        <w:spacing w:line="276" w:lineRule="auto"/>
        <w:ind w:left="284" w:firstLine="424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Sprzęt powinien zostać zutylizowany (zagospodarowany) zgodnie przepisami obowiązującymi w dniu osiągnięcia przez niego docelowej normy eksploatacyjnej.</w:t>
      </w:r>
    </w:p>
    <w:p w:rsidR="00A86974" w:rsidRDefault="00A86974" w:rsidP="008B0C6F">
      <w:pPr>
        <w:pStyle w:val="Nagwek1"/>
        <w:spacing w:before="240" w:after="240" w:line="276" w:lineRule="auto"/>
        <w:ind w:left="284" w:hanging="284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Uprawnienia wykonawców: </w:t>
      </w:r>
    </w:p>
    <w:p w:rsidR="00A86974" w:rsidRDefault="00A86974" w:rsidP="00A86974">
      <w:pPr>
        <w:spacing w:line="276" w:lineRule="auto"/>
        <w:ind w:firstLine="357"/>
        <w:jc w:val="both"/>
        <w:rPr>
          <w:rFonts w:eastAsia="Arial"/>
          <w:color w:val="000000"/>
          <w:sz w:val="22"/>
          <w:szCs w:val="22"/>
        </w:rPr>
      </w:pPr>
      <w:bookmarkStart w:id="3" w:name="_GoBack"/>
      <w:bookmarkEnd w:id="3"/>
      <w:r>
        <w:rPr>
          <w:rFonts w:eastAsia="Arial"/>
          <w:color w:val="000000"/>
          <w:sz w:val="22"/>
          <w:szCs w:val="22"/>
        </w:rPr>
        <w:t>Brak szczególnych wymagań dla Wykonawców.</w:t>
      </w:r>
    </w:p>
    <w:p w:rsidR="00A86974" w:rsidRDefault="00A86974" w:rsidP="00A86974">
      <w:pPr>
        <w:pStyle w:val="Nagwek1"/>
        <w:spacing w:before="240" w:after="240" w:line="276" w:lineRule="auto"/>
        <w:ind w:left="357" w:hanging="35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Termin realizacji dostawy/montażu:</w:t>
      </w: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ab/>
        <w:t xml:space="preserve">Nieprzekraczalny termin dostawy </w:t>
      </w:r>
      <w:r>
        <w:rPr>
          <w:rFonts w:eastAsia="Arial"/>
          <w:sz w:val="22"/>
          <w:szCs w:val="22"/>
        </w:rPr>
        <w:t xml:space="preserve">do 28.02.2025 r. </w:t>
      </w:r>
    </w:p>
    <w:p w:rsidR="00A86974" w:rsidRDefault="00A86974" w:rsidP="00A86974">
      <w:pPr>
        <w:pStyle w:val="Nagwek1"/>
        <w:spacing w:before="240" w:after="240" w:line="276" w:lineRule="auto"/>
        <w:ind w:left="357" w:hanging="35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Miejsce dostawy/montażu: </w:t>
      </w:r>
    </w:p>
    <w:p w:rsidR="00A86974" w:rsidRDefault="00A86974" w:rsidP="00A86974">
      <w:pPr>
        <w:spacing w:line="276" w:lineRule="auto"/>
        <w:ind w:firstLine="52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 xml:space="preserve">Akademia Marynarki Wojennej, ul. </w:t>
      </w:r>
      <w:r>
        <w:rPr>
          <w:rFonts w:eastAsia="Arial"/>
          <w:b/>
          <w:color w:val="202124"/>
          <w:sz w:val="22"/>
          <w:szCs w:val="22"/>
          <w:highlight w:val="white"/>
        </w:rPr>
        <w:t> </w:t>
      </w:r>
      <w:r>
        <w:rPr>
          <w:rFonts w:eastAsia="Arial"/>
          <w:color w:val="202124"/>
          <w:sz w:val="22"/>
          <w:szCs w:val="22"/>
          <w:highlight w:val="white"/>
        </w:rPr>
        <w:t>Inżyniera Jana Śmidowicza 69, 81-127 Gdynia</w:t>
      </w:r>
    </w:p>
    <w:p w:rsidR="00A86974" w:rsidRDefault="00A86974" w:rsidP="00A86974">
      <w:pPr>
        <w:pStyle w:val="Nagwek1"/>
        <w:spacing w:before="120" w:after="120"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Szkolenie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Po zakończeniu prac nad modyfikacją bazy szkoleniowej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Wojennej w Gdyni, Wykonawca zorganizuje i przeprowadzi szkolenie z zakresu jego obsługi i eksploatacji.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Miejsce szkolenia: miejsce instalacji zmodyfikowanych/dodanych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ab/>
        <w:t xml:space="preserve">elementów bazy szkoleniowej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Wojennej w Gdyni.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Czas trwania szkolenia: zgodnie z uzgodnionym i zatwierdzonym programem szkolenia.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Koszt szkolenia – wliczony w cenę przedmiotu zamówienia.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Szkolenie musi odbyć się w języku polskim.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Szkolenie powinno zakończyć się wydaniem stosownych certyfikatów/świadectw.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Zakres szkolenia obejmuje: 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4" w:hanging="992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 w:eastAsia="zh-CN"/>
        </w:rPr>
        <w:t>Opis i budowę zmodyfikowanych/dodanych elementów</w:t>
      </w:r>
      <w:r>
        <w:rPr>
          <w:rFonts w:ascii="Times New Roman" w:hAnsi="Times New Roman" w:cs="Times New Roman"/>
          <w:b w:val="0"/>
          <w:lang w:val="pl-PL"/>
        </w:rPr>
        <w:t xml:space="preserve"> bazy szkoleniowej </w:t>
      </w:r>
      <w:proofErr w:type="gramStart"/>
      <w:r>
        <w:rPr>
          <w:rFonts w:ascii="Times New Roman" w:hAnsi="Times New Roman" w:cs="Times New Roman"/>
          <w:b w:val="0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lang w:val="pl-PL"/>
        </w:rPr>
        <w:t xml:space="preserve"> Wojennej w Gdyni</w:t>
      </w:r>
      <w:r>
        <w:rPr>
          <w:rFonts w:ascii="Times New Roman" w:hAnsi="Times New Roman" w:cs="Times New Roman"/>
          <w:b w:val="0"/>
          <w:lang w:val="pl-PL" w:eastAsia="zh-CN"/>
        </w:rPr>
        <w:t>;</w:t>
      </w:r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985" w:hanging="993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 w:eastAsia="zh-CN"/>
        </w:rPr>
        <w:t>Konfigurację, obsługę i eksploatację urządzeń wchodzących w skład zmodyfikowanych/dodanych elementów</w:t>
      </w:r>
      <w:r>
        <w:rPr>
          <w:rFonts w:ascii="Times New Roman" w:hAnsi="Times New Roman" w:cs="Times New Roman"/>
          <w:b w:val="0"/>
          <w:lang w:val="pl-PL"/>
        </w:rPr>
        <w:t xml:space="preserve"> bazy szkoleniowej </w:t>
      </w:r>
      <w:proofErr w:type="gramStart"/>
      <w:r>
        <w:rPr>
          <w:rFonts w:ascii="Times New Roman" w:hAnsi="Times New Roman" w:cs="Times New Roman"/>
          <w:b w:val="0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lang w:val="pl-PL"/>
        </w:rPr>
        <w:t xml:space="preserve"> Wojennej w Gdyni;</w:t>
      </w:r>
    </w:p>
    <w:p w:rsidR="00A86974" w:rsidRDefault="00A86974" w:rsidP="00A86974">
      <w:pPr>
        <w:pStyle w:val="Nagwek6"/>
        <w:tabs>
          <w:tab w:val="clear" w:pos="360"/>
        </w:tabs>
        <w:spacing w:line="276" w:lineRule="auto"/>
        <w:ind w:left="1985" w:hanging="993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 w:eastAsia="zh-CN"/>
        </w:rPr>
        <w:t>Zasady realizacji możliwości funkcjonalnych zmodyfikowanych/dodanych elementów</w:t>
      </w:r>
      <w:r>
        <w:rPr>
          <w:rFonts w:ascii="Times New Roman" w:hAnsi="Times New Roman" w:cs="Times New Roman"/>
          <w:b w:val="0"/>
          <w:lang w:val="pl-PL"/>
        </w:rPr>
        <w:t xml:space="preserve"> bazy szkoleniowej </w:t>
      </w:r>
      <w:proofErr w:type="gramStart"/>
      <w:r>
        <w:rPr>
          <w:rFonts w:ascii="Times New Roman" w:hAnsi="Times New Roman" w:cs="Times New Roman"/>
          <w:b w:val="0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lang w:val="pl-PL"/>
        </w:rPr>
        <w:t xml:space="preserve"> Wojennej w Gdyni pozostałe (wg potrzeb i wiedzy Wykonawcy).</w:t>
      </w:r>
    </w:p>
    <w:p w:rsidR="00A86974" w:rsidRDefault="00A86974" w:rsidP="00A86974">
      <w:pPr>
        <w:pStyle w:val="Nagwek1"/>
        <w:spacing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Inne wymagania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Dostarczone wyroby (nowe, z uwzględnieniem aktualnych technologii, pierwszej kategorii, wyprodukowany nie wcześniej niż w roku poprzedzającym dostawę) muszą spełniać wymagania jakościowe potwierdzone przez Producenta w systemie pełnego zapewnienia, jakości, stosowanego podczas projektowania, produkcji, badań i końcowej kontroli wyrobów.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Wszystkie wymagane testy wydajności i głośności mają dotyczyć sprzętu w oferowanej konfiguracji. Pozostałe wymagane certyfikaty mogą dotyczyć oferowanej platformy sprzętowej.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dostarczy do każdego egzemplarza sprzętu kartę sprzętu zawierającą pełną listę podzespołów, wyposażenia i oprogramowania wchodzącego w skład ukompletowania tego sprzętu wraz z numerami seryjnymi i dokładna nazwą modelu. Informacje te mają być zawarte w Książce Urządzenia, o której mowa w pkt. 14.9 podpunkt 3.</w:t>
      </w:r>
    </w:p>
    <w:p w:rsidR="00A86974" w:rsidRDefault="00A86974" w:rsidP="00A86974">
      <w:pPr>
        <w:pStyle w:val="Nagwek5"/>
        <w:spacing w:before="120" w:line="276" w:lineRule="auto"/>
        <w:ind w:left="1134" w:hanging="709"/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Wykonawca w Książce Urządzenia poda: rodzaj, nazwę, producenta, model i pojemność wszystkich informatycznych nośników danych oraz w spisie przewidzianym dla płyt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 xml:space="preserve">głównych – rodzaju pamięci zainstalowanych na stałe (np.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>flash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 xml:space="preserve"> - 8 GB).</w:t>
      </w:r>
    </w:p>
    <w:p w:rsidR="00A86974" w:rsidRDefault="00A86974" w:rsidP="00A86974">
      <w:pPr>
        <w:pStyle w:val="Nagwek5"/>
        <w:spacing w:before="120" w:line="276" w:lineRule="auto"/>
        <w:ind w:left="1134" w:hanging="708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Instalacja urządzeń wchodzących w skład systemu szkolno-treningowego Akademii Marynarki Wojennej w Gdyni powinna być wykonana starannie, zgodnie z aktualnymi przepisami i regułami techniki w rozumieniu międzynarodowych i europejskich norm, wytycznych i zaleceń. </w:t>
      </w:r>
    </w:p>
    <w:p w:rsidR="00A86974" w:rsidRDefault="00A86974" w:rsidP="00A86974">
      <w:pPr>
        <w:pStyle w:val="Nagwek5"/>
        <w:spacing w:before="120" w:line="276" w:lineRule="auto"/>
        <w:ind w:left="1134" w:hanging="708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lastRenderedPageBreak/>
        <w:t>Zamawiający dopuszcza możliwość realizacji rekonesansu w miejscu montażu, po wcześniejszym pisemnym zgłoszeniu takiej potrzeby.</w:t>
      </w:r>
    </w:p>
    <w:p w:rsidR="00A86974" w:rsidRDefault="00A86974" w:rsidP="00A86974">
      <w:pPr>
        <w:pStyle w:val="Nagwek5"/>
        <w:spacing w:before="120" w:line="276" w:lineRule="auto"/>
        <w:ind w:left="1134" w:hanging="708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Terminy i forma dostarczenia bądź aktualizacji Dokumentacji: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5" w:hanging="85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Program prób zdawczo-odbiorczych modyfikacji bazy szkoleniowej </w:t>
      </w:r>
      <w:proofErr w:type="gramStart"/>
      <w:r>
        <w:rPr>
          <w:rFonts w:ascii="Times New Roman" w:hAnsi="Times New Roman" w:cs="Times New Roman"/>
          <w:b w:val="0"/>
          <w:lang w:val="pl-PL"/>
        </w:rPr>
        <w:t>Akademii  Marynarki</w:t>
      </w:r>
      <w:proofErr w:type="gramEnd"/>
      <w:r>
        <w:rPr>
          <w:rFonts w:ascii="Times New Roman" w:hAnsi="Times New Roman" w:cs="Times New Roman"/>
          <w:b w:val="0"/>
          <w:lang w:val="pl-PL"/>
        </w:rPr>
        <w:t xml:space="preserve"> Wojennej w Gdyni.</w:t>
      </w:r>
    </w:p>
    <w:p w:rsidR="00A86974" w:rsidRDefault="00A86974" w:rsidP="00A86974">
      <w:pPr>
        <w:numPr>
          <w:ilvl w:val="0"/>
          <w:numId w:val="21"/>
        </w:numPr>
        <w:spacing w:line="276" w:lineRule="auto"/>
        <w:ind w:left="2410" w:hanging="3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Forma dokumentu: wersja papierowa </w:t>
      </w:r>
    </w:p>
    <w:p w:rsidR="00A86974" w:rsidRDefault="00A86974" w:rsidP="00A86974">
      <w:pPr>
        <w:numPr>
          <w:ilvl w:val="0"/>
          <w:numId w:val="21"/>
        </w:numPr>
        <w:spacing w:line="276" w:lineRule="auto"/>
        <w:ind w:left="2410" w:hanging="357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uzgadnia przedstawiciel Użytkownika – Akademii Marynarki Wojennej w Gdyni.</w:t>
      </w:r>
    </w:p>
    <w:p w:rsidR="00A86974" w:rsidRDefault="00A86974" w:rsidP="00A86974">
      <w:pPr>
        <w:numPr>
          <w:ilvl w:val="0"/>
          <w:numId w:val="21"/>
        </w:numPr>
        <w:spacing w:line="276" w:lineRule="auto"/>
        <w:ind w:left="2410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dwóch egzemplarzach z przeznaczeniem dla Zamawiającego oraz Użytkownika, stanowi załącznik Protokołu Zdawczo-odbiorczego</w:t>
      </w:r>
      <w:r>
        <w:rPr>
          <w:rFonts w:eastAsia="Arial"/>
          <w:sz w:val="22"/>
          <w:szCs w:val="22"/>
        </w:rPr>
        <w:t>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5" w:hanging="85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Zdawcza dokumentacja techniczna (powykonawcza)</w:t>
      </w:r>
    </w:p>
    <w:p w:rsidR="00A86974" w:rsidRDefault="00A86974" w:rsidP="00A86974">
      <w:pPr>
        <w:numPr>
          <w:ilvl w:val="0"/>
          <w:numId w:val="22"/>
        </w:numPr>
        <w:spacing w:line="276" w:lineRule="auto"/>
        <w:ind w:left="2410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Forma dokumentu: wersja papierowa i elektroniczna.</w:t>
      </w:r>
    </w:p>
    <w:p w:rsidR="00A86974" w:rsidRDefault="00A86974" w:rsidP="00A86974">
      <w:pPr>
        <w:numPr>
          <w:ilvl w:val="0"/>
          <w:numId w:val="22"/>
        </w:numPr>
        <w:spacing w:line="276" w:lineRule="auto"/>
        <w:ind w:left="2410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Termin wykonania: do terminu Prób zdawczo – odbiorczych.</w:t>
      </w:r>
    </w:p>
    <w:p w:rsidR="00A86974" w:rsidRDefault="00A86974" w:rsidP="00A86974">
      <w:pPr>
        <w:numPr>
          <w:ilvl w:val="0"/>
          <w:numId w:val="22"/>
        </w:numPr>
        <w:spacing w:line="276" w:lineRule="auto"/>
        <w:ind w:left="2410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jednym egzemplarzu z przeznaczeniem dla Użytkownika, stanowi załącznik Protokołu Zdawczo-odbiorczego.</w:t>
      </w:r>
    </w:p>
    <w:p w:rsidR="00A86974" w:rsidRDefault="00A86974" w:rsidP="00A86974">
      <w:pPr>
        <w:pStyle w:val="Nagwek6"/>
        <w:tabs>
          <w:tab w:val="clear" w:pos="360"/>
          <w:tab w:val="left" w:pos="2127"/>
        </w:tabs>
        <w:spacing w:before="0" w:after="0" w:line="276" w:lineRule="auto"/>
        <w:ind w:left="2126" w:hanging="992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Program szkolenia z zakresu obsługi i eksploatacji zmodyfikowanej bazy szkoleniowej Akademii Marynarki Wojennej w Gdyni.</w:t>
      </w:r>
    </w:p>
    <w:p w:rsidR="00A86974" w:rsidRDefault="00A86974" w:rsidP="00A86974">
      <w:pPr>
        <w:numPr>
          <w:ilvl w:val="0"/>
          <w:numId w:val="23"/>
        </w:numPr>
        <w:spacing w:line="276" w:lineRule="auto"/>
        <w:ind w:left="2410" w:hanging="284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Forma dokumentu: wersja papierowa </w:t>
      </w:r>
    </w:p>
    <w:p w:rsidR="00A86974" w:rsidRDefault="00A86974" w:rsidP="00A86974">
      <w:pPr>
        <w:numPr>
          <w:ilvl w:val="0"/>
          <w:numId w:val="23"/>
        </w:numPr>
        <w:spacing w:line="276" w:lineRule="auto"/>
        <w:ind w:left="2410" w:hanging="284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uzgadnia przedstawiciel Użytkownika - Akademii Marynarki Wojennej w Gdyni.</w:t>
      </w:r>
    </w:p>
    <w:p w:rsidR="00A86974" w:rsidRDefault="00A86974" w:rsidP="00A86974">
      <w:pPr>
        <w:numPr>
          <w:ilvl w:val="0"/>
          <w:numId w:val="23"/>
        </w:numPr>
        <w:spacing w:line="276" w:lineRule="auto"/>
        <w:ind w:left="2410" w:hanging="284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jednym egzemplarzu z przeznaczeniem dla Zamawiającego, stanowi załącznik Protokołu Zdawczo-odbiorczego.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2126" w:hanging="992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Protokół ze szkolenia uwzględniający zagadnienia będące przedmiotem szkolenia wraz z listą osób przeszkolonych.</w:t>
      </w:r>
    </w:p>
    <w:p w:rsidR="00A86974" w:rsidRDefault="00A86974" w:rsidP="00A86974">
      <w:pPr>
        <w:numPr>
          <w:ilvl w:val="0"/>
          <w:numId w:val="24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Forma dokumentu: wersja papierowa.</w:t>
      </w:r>
    </w:p>
    <w:p w:rsidR="00A86974" w:rsidRDefault="00A86974" w:rsidP="00A86974">
      <w:pPr>
        <w:numPr>
          <w:ilvl w:val="0"/>
          <w:numId w:val="24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Termin wykonania: do terminu Prób zdawczo – odbiorczych.</w:t>
      </w:r>
    </w:p>
    <w:p w:rsidR="00A86974" w:rsidRDefault="00A86974" w:rsidP="00A86974">
      <w:pPr>
        <w:numPr>
          <w:ilvl w:val="0"/>
          <w:numId w:val="24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jednym egzemplarzu z przeznaczeniem dla Zamawiającego, stanowi załącznik Protokołu Zdawczo-odbiorczego.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70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Instrukcję użytkowania</w:t>
      </w:r>
    </w:p>
    <w:p w:rsidR="00A86974" w:rsidRDefault="00A86974" w:rsidP="00A86974">
      <w:pPr>
        <w:numPr>
          <w:ilvl w:val="0"/>
          <w:numId w:val="25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Forma dokumentu: wersja papierowa i elektroniczna.</w:t>
      </w:r>
    </w:p>
    <w:p w:rsidR="00A86974" w:rsidRDefault="00A86974" w:rsidP="00A86974">
      <w:pPr>
        <w:numPr>
          <w:ilvl w:val="0"/>
          <w:numId w:val="25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uzgadnia przedstawiciel Użytkownika - Akademii Marynarki Wojennej w Gdyni.</w:t>
      </w:r>
    </w:p>
    <w:p w:rsidR="00A86974" w:rsidRDefault="00A86974" w:rsidP="00A86974">
      <w:pPr>
        <w:numPr>
          <w:ilvl w:val="0"/>
          <w:numId w:val="25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jednym egzemplarzu będący częścią ukompletowania zmodyfikowanej bazy szkoleniowej Akademii Marynarki Wojennej w Gdyni z przeznaczeniem dla Użytkownika.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2127" w:hanging="85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Książkę urządzenia</w:t>
      </w:r>
    </w:p>
    <w:p w:rsidR="00A86974" w:rsidRDefault="00A86974" w:rsidP="00A86974">
      <w:pPr>
        <w:numPr>
          <w:ilvl w:val="0"/>
          <w:numId w:val="26"/>
        </w:numPr>
        <w:spacing w:line="276" w:lineRule="auto"/>
        <w:ind w:left="255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Forma dokumentu: wersja papierowa.</w:t>
      </w:r>
    </w:p>
    <w:p w:rsidR="00A86974" w:rsidRDefault="00A86974" w:rsidP="00A86974">
      <w:pPr>
        <w:numPr>
          <w:ilvl w:val="0"/>
          <w:numId w:val="26"/>
        </w:numPr>
        <w:spacing w:line="276" w:lineRule="auto"/>
        <w:ind w:left="2552"/>
        <w:jc w:val="both"/>
        <w:rPr>
          <w:rFonts w:eastAsia="Arial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Dokument wykonany w jednym egzemplarzu będący częścią ukompletowania zmodyfikowanej bazy szkoleniowej Akademii Marynarki Wojennej w Gdyni z przeznaczeniem dla Użytkownika.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dostarczy ostateczne (zatwierdzone) wersje elektroniczne (zapisane w dwóch formatach *.pdf i edytowalnym, np.*.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docx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) niżej wymienionych dokumentów na płycie CD/DVD: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5" w:hanging="567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lastRenderedPageBreak/>
        <w:t>Zdawcza dokumentacja techniczna (powykonawcza).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5" w:hanging="567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Instrukcję Użytkowania.</w:t>
      </w:r>
    </w:p>
    <w:p w:rsidR="00A86974" w:rsidRDefault="00A86974" w:rsidP="00A86974">
      <w:pPr>
        <w:pStyle w:val="Nagwek6"/>
        <w:tabs>
          <w:tab w:val="clear" w:pos="360"/>
        </w:tabs>
        <w:spacing w:before="120" w:after="0" w:line="276" w:lineRule="auto"/>
        <w:ind w:left="1985" w:hanging="567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Książkę Urządzenia.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W terminie do 21 dni od podpisania umowy, Wykonawca opracuje i uzgodni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br/>
        <w:t xml:space="preserve">z Użytkownikiem (w części, w której zachodzi konieczność wykorzystania/dostępu do przedmiotu modyfikacji) harmonogram prac związanych z realizacją umowy (np. realizacja niezbędnych rekonesansów, opracowanie dokumentacji, uzgodnienie dokumentacji z Użytkownikiem, przesłanie dokumentacji do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Gestra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SpW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w celu uzgodnienia, zgłoszenie do Prób zdawczo-odbiorczych, itp.).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Zmodyfikowaną bazę szkoleniową Akademii Marynarki Wojennej w Gdyni będzie można uznać za odebraną, gdy podczas odbioru, komisja zdawczo-odbiorcza powołana przez Zamawiającego, stwierdzi prawidłowe i wystarczające wykonywanie przez bazę szkoleniową wszystkich założonych jego funkcji (zawartych w Programie prób zdawczo-odbiorczych). Modyfikacja nie będzie uznana za uruchomioną, jeśli którakolwiek z założonych jej funkcji nie będzie wykonana, lub nie będzie wykonana prawidłowo instalacja urządzeń bazy szkoleniowej. W skład komisji zdawczo-odbiorczej wejdą przedstawiciele: Zamawiającego, Użytkownika i Wykonawcy. Po odbiorze komisja sporządzi Protokół zdawczo-odbiorczy, który będzie podstawą do wystawienia i opłacenia faktury.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w umowie powinien udzielić Skarbowi Państwa reprezentowanemu przez Zamawiającego licencji uprawniającej do korzystania z oprogramowania wchodzącego w skład zmodyfikowanej bazy szkoleniowej Akademii Marynarki Wojennej w Gdyni, bez ograniczeń w zakresie jaki przysługuje właścicielowi autorskich praw majątkowych, na obszar działania Sił Zbrojnych RP, przez okres co najmniej 20 lat od momentu przekazania dla Użytkownika bazy szkoleniowej – preferowane, aby licencja nie była ograniczona czasowo.</w:t>
      </w:r>
    </w:p>
    <w:p w:rsidR="00A86974" w:rsidRDefault="00A86974" w:rsidP="00A86974">
      <w:pPr>
        <w:pStyle w:val="Nagwek5"/>
        <w:spacing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 przypadku, gdy Wykonawca zastosuje w opracowywanym przez siebie oprogramowaniu komputerowym składniki, co do których nie posiada własności autorskich praw majątkowych, powinien uzyskać od właściciela owych uprawnień stosowne upoważnienie w zakresie niezbędnym do korzystania przez Zamawiającego z przedmiotu zamówienia. Licencje należy wliczyć w cenę przedmiotu zamówienia. Licencje nie mogą być ograniczone czasowo.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Zakres licencji dostarczany przez Wykonawcę powinien obejmować w szczególności upoważnienie do: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Zainstalowania i korzystania z oprogramowania i urządzeń na innym sprzęcie niż go pierwotnie zainstalowano.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Szkolenia przyszłych Użytkowników w zakresie budowy, działania oraz obsługi dostarczonej przez Wykonawcę zmodyfikowanej bazy szkoleniowej Akademii Marynarki Wojennej w Gdyni.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Zainstalowania i korzystania z wybranych składników oprogramowania i urządzeń na innym sprzęcie w przypadku, gdy dostarczone oprogramowanie składać się będzie z kilku programów komputerowych obsługujących lub wspomagających wykonywanie różnych funkcji, które to mogą zostać wyodrębnione z całości oprogramowania głównego oraz mogą funkcjonować samodzielnie.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lastRenderedPageBreak/>
        <w:t>Zwielokrotniania oprogramowania zastosowanego w symulatorach i trenażerach systemów dowodzenia i łączności oraz w wyposażeniu dodatkowym bądź jego wybranych składników w całości lub w części jakimikolwiek środkami i w jakiejkolwiek formie umożliwiającej wierne powielenie bez szkody dla funkcjonowania oprogramowania.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W umowie Wykonawca powinien zobowiązać się do dokonywania corocznych aktualizacji i optymalizacji dostarczonego oprogramowania przez okres eksploatacji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dosatrzconego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sprzętu. Każda kolejna aktualizacja powinna uwzględniać uwagi Użytkownika oprogramowania zgłoszone przez Zamawiającego oraz umożliwiać sprawne jego działanie bez powodowania spowolnienia działania aktualizowanego oprogramowania – bez dodatkowych kosztów. Dopuszcza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się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aby przedmiotowe czynności realizowali przedstawiciele Zamawiającego po wcześniejszym ich przeszkoleniu przez Wykonawcę i udostępnieniu odpowiednich narzędzi.</w:t>
      </w:r>
    </w:p>
    <w:p w:rsidR="00A86974" w:rsidRDefault="00A86974" w:rsidP="00A86974">
      <w:pPr>
        <w:pStyle w:val="Nagwek5"/>
        <w:spacing w:before="120" w:line="276" w:lineRule="auto"/>
        <w:ind w:left="1418" w:hanging="851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sz w:val="22"/>
          <w:szCs w:val="22"/>
          <w:lang w:val="pl-PL"/>
        </w:rPr>
        <w:t>Wykonawca powinien zobowiązać się do zapewnienia wsparcia merytoryczno-technicznego wskazanym przez Zamawiającego Użytkownikowi przedmiotu zamówienia w zakresie uzgodnionym przez Strony przez okres co najmniej 5 lat po dostarczeniu sprzętu.</w:t>
      </w: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</w:p>
    <w:p w:rsidR="00A86974" w:rsidRDefault="00A86974" w:rsidP="00A86974">
      <w:pPr>
        <w:tabs>
          <w:tab w:val="left" w:pos="708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 w:clear="all"/>
      </w:r>
    </w:p>
    <w:sectPr w:rsidR="00A86974" w:rsidSect="008B0C6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A80"/>
    <w:multiLevelType w:val="multilevel"/>
    <w:tmpl w:val="5B1E2918"/>
    <w:lvl w:ilvl="0">
      <w:start w:val="1"/>
      <w:numFmt w:val="bullet"/>
      <w:lvlText w:val="§"/>
      <w:lvlJc w:val="left"/>
      <w:pPr>
        <w:ind w:left="1777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9390CCC"/>
    <w:multiLevelType w:val="multilevel"/>
    <w:tmpl w:val="43AEDE02"/>
    <w:lvl w:ilvl="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0CE67E06"/>
    <w:multiLevelType w:val="multilevel"/>
    <w:tmpl w:val="FA2E47CE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0C0A5D"/>
    <w:multiLevelType w:val="multilevel"/>
    <w:tmpl w:val="682CC6E2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5D70E0B"/>
    <w:multiLevelType w:val="multilevel"/>
    <w:tmpl w:val="B87C096A"/>
    <w:lvl w:ilvl="0">
      <w:start w:val="1"/>
      <w:numFmt w:val="decimal"/>
      <w:pStyle w:val="Nagwek1"/>
      <w:lvlText w:val="%1."/>
      <w:lvlJc w:val="left"/>
      <w:pPr>
        <w:ind w:left="1637" w:hanging="360"/>
      </w:pPr>
    </w:lvl>
    <w:lvl w:ilvl="1">
      <w:start w:val="1"/>
      <w:numFmt w:val="decimal"/>
      <w:pStyle w:val="Nagwek5"/>
      <w:lvlText w:val="%1.%2."/>
      <w:lvlJc w:val="left"/>
      <w:pPr>
        <w:ind w:left="1851" w:hanging="432"/>
      </w:pPr>
    </w:lvl>
    <w:lvl w:ilvl="2">
      <w:start w:val="1"/>
      <w:numFmt w:val="decimal"/>
      <w:pStyle w:val="Nagwek6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 w15:restartNumberingAfterBreak="0">
    <w:nsid w:val="16E032C0"/>
    <w:multiLevelType w:val="multilevel"/>
    <w:tmpl w:val="36F48C5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9BE362E"/>
    <w:multiLevelType w:val="multilevel"/>
    <w:tmpl w:val="6B7A7F8A"/>
    <w:lvl w:ilvl="0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932B8A"/>
    <w:multiLevelType w:val="multilevel"/>
    <w:tmpl w:val="1896AC6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26683"/>
    <w:multiLevelType w:val="multilevel"/>
    <w:tmpl w:val="1D04AA52"/>
    <w:lvl w:ilvl="0">
      <w:start w:val="1"/>
      <w:numFmt w:val="bullet"/>
      <w:lvlText w:val="·"/>
      <w:lvlJc w:val="left"/>
      <w:pPr>
        <w:ind w:left="2125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274F4799"/>
    <w:multiLevelType w:val="multilevel"/>
    <w:tmpl w:val="F7481132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3AC799C"/>
    <w:multiLevelType w:val="multilevel"/>
    <w:tmpl w:val="6DF02FEA"/>
    <w:lvl w:ilvl="0">
      <w:start w:val="1"/>
      <w:numFmt w:val="bullet"/>
      <w:lvlText w:val=""/>
      <w:lvlJc w:val="left"/>
      <w:pPr>
        <w:tabs>
          <w:tab w:val="num" w:pos="720"/>
        </w:tabs>
        <w:ind w:left="1417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137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857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577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4297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5017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737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457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7177" w:hanging="360"/>
      </w:pPr>
      <w:rPr>
        <w:rFonts w:ascii="Wingdings" w:hAnsi="Wingdings"/>
        <w:sz w:val="20"/>
      </w:rPr>
    </w:lvl>
  </w:abstractNum>
  <w:abstractNum w:abstractNumId="11" w15:restartNumberingAfterBreak="0">
    <w:nsid w:val="3711500E"/>
    <w:multiLevelType w:val="multilevel"/>
    <w:tmpl w:val="F780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EF2"/>
    <w:multiLevelType w:val="multilevel"/>
    <w:tmpl w:val="05D88A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80D"/>
    <w:multiLevelType w:val="multilevel"/>
    <w:tmpl w:val="E2B4D06E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0EE2344"/>
    <w:multiLevelType w:val="multilevel"/>
    <w:tmpl w:val="62945CD4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3B07B8F"/>
    <w:multiLevelType w:val="multilevel"/>
    <w:tmpl w:val="C39826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60B"/>
    <w:multiLevelType w:val="multilevel"/>
    <w:tmpl w:val="4A7E33D4"/>
    <w:lvl w:ilvl="0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6364536"/>
    <w:multiLevelType w:val="multilevel"/>
    <w:tmpl w:val="E49A6732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A86F17"/>
    <w:multiLevelType w:val="multilevel"/>
    <w:tmpl w:val="3BC424A0"/>
    <w:lvl w:ilvl="0">
      <w:start w:val="1"/>
      <w:numFmt w:val="bullet"/>
      <w:lvlText w:val=""/>
      <w:lvlJc w:val="left"/>
      <w:pPr>
        <w:tabs>
          <w:tab w:val="num" w:pos="720"/>
        </w:tabs>
        <w:ind w:left="1417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137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857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577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4297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5017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737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457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7177" w:hanging="360"/>
      </w:pPr>
      <w:rPr>
        <w:rFonts w:ascii="Wingdings" w:hAnsi="Wingdings"/>
        <w:sz w:val="20"/>
      </w:rPr>
    </w:lvl>
  </w:abstractNum>
  <w:abstractNum w:abstractNumId="19" w15:restartNumberingAfterBreak="0">
    <w:nsid w:val="4ED22621"/>
    <w:multiLevelType w:val="multilevel"/>
    <w:tmpl w:val="0D8C035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B86B8E"/>
    <w:multiLevelType w:val="multilevel"/>
    <w:tmpl w:val="F6F6C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824A9"/>
    <w:multiLevelType w:val="multilevel"/>
    <w:tmpl w:val="450A107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F97624"/>
    <w:multiLevelType w:val="multilevel"/>
    <w:tmpl w:val="1DD859F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E4D95"/>
    <w:multiLevelType w:val="multilevel"/>
    <w:tmpl w:val="04C68B66"/>
    <w:lvl w:ilvl="0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64DB04F4"/>
    <w:multiLevelType w:val="multilevel"/>
    <w:tmpl w:val="5BFC5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64532"/>
    <w:multiLevelType w:val="multilevel"/>
    <w:tmpl w:val="8A205EEE"/>
    <w:lvl w:ilvl="0">
      <w:start w:val="1"/>
      <w:numFmt w:val="bullet"/>
      <w:lvlText w:val="§"/>
      <w:lvlJc w:val="left"/>
      <w:pPr>
        <w:ind w:left="2136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9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7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23"/>
  </w:num>
  <w:num w:numId="18">
    <w:abstractNumId w:val="16"/>
  </w:num>
  <w:num w:numId="19">
    <w:abstractNumId w:val="1"/>
  </w:num>
  <w:num w:numId="20">
    <w:abstractNumId w:val="0"/>
  </w:num>
  <w:num w:numId="21">
    <w:abstractNumId w:val="13"/>
  </w:num>
  <w:num w:numId="22">
    <w:abstractNumId w:val="3"/>
  </w:num>
  <w:num w:numId="23">
    <w:abstractNumId w:val="2"/>
  </w:num>
  <w:num w:numId="24">
    <w:abstractNumId w:val="25"/>
  </w:num>
  <w:num w:numId="25">
    <w:abstractNumId w:val="9"/>
  </w:num>
  <w:num w:numId="26">
    <w:abstractNumId w:val="1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4"/>
    <w:rsid w:val="008B0C6F"/>
    <w:rsid w:val="00A004FF"/>
    <w:rsid w:val="00A86974"/>
    <w:rsid w:val="00B11DA8"/>
    <w:rsid w:val="00C33114"/>
    <w:rsid w:val="00E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4766-2BB3-4167-B3F7-078655D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A86974"/>
    <w:pPr>
      <w:numPr>
        <w:numId w:val="2"/>
      </w:numPr>
      <w:spacing w:before="360" w:line="360" w:lineRule="auto"/>
      <w:jc w:val="both"/>
      <w:outlineLvl w:val="0"/>
    </w:pPr>
    <w:rPr>
      <w:rFonts w:ascii="Arial" w:eastAsia="Arial" w:hAnsi="Arial" w:cs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next w:val="Normalny"/>
    <w:link w:val="Nagwek5Znak"/>
    <w:qFormat/>
    <w:rsid w:val="00A86974"/>
    <w:pPr>
      <w:numPr>
        <w:ilvl w:val="1"/>
        <w:numId w:val="2"/>
      </w:numPr>
      <w:spacing w:before="360" w:after="0" w:line="360" w:lineRule="auto"/>
      <w:ind w:left="788" w:hanging="431"/>
      <w:jc w:val="both"/>
      <w:outlineLvl w:val="4"/>
    </w:pPr>
    <w:rPr>
      <w:rFonts w:ascii="Arial" w:eastAsia="Arial" w:hAnsi="Arial" w:cs="Arial"/>
      <w:b/>
      <w:bCs/>
      <w:color w:val="000000"/>
      <w:sz w:val="26"/>
      <w:szCs w:val="26"/>
      <w:lang w:val="en-GB"/>
    </w:rPr>
  </w:style>
  <w:style w:type="paragraph" w:styleId="Nagwek6">
    <w:name w:val="heading 6"/>
    <w:basedOn w:val="Akapitzlist"/>
    <w:next w:val="Normalny"/>
    <w:link w:val="Nagwek6Znak"/>
    <w:qFormat/>
    <w:rsid w:val="00A86974"/>
    <w:pPr>
      <w:numPr>
        <w:ilvl w:val="2"/>
        <w:numId w:val="2"/>
      </w:numPr>
      <w:tabs>
        <w:tab w:val="num" w:pos="360"/>
      </w:tabs>
      <w:spacing w:before="240" w:line="360" w:lineRule="auto"/>
      <w:ind w:left="1225" w:hanging="505"/>
      <w:jc w:val="both"/>
      <w:outlineLvl w:val="5"/>
    </w:pPr>
    <w:rPr>
      <w:rFonts w:ascii="Arial" w:eastAsia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974"/>
    <w:rPr>
      <w:rFonts w:ascii="Arial" w:eastAsia="Arial" w:hAnsi="Arial" w:cs="Arial"/>
      <w:b/>
      <w:sz w:val="28"/>
      <w:lang w:val="en-GB"/>
    </w:rPr>
  </w:style>
  <w:style w:type="character" w:customStyle="1" w:styleId="Nagwek5Znak">
    <w:name w:val="Nagłówek 5 Znak"/>
    <w:basedOn w:val="Domylnaczcionkaakapitu"/>
    <w:link w:val="Nagwek5"/>
    <w:rsid w:val="00A86974"/>
    <w:rPr>
      <w:rFonts w:ascii="Arial" w:eastAsia="Arial" w:hAnsi="Arial" w:cs="Arial"/>
      <w:b/>
      <w:bCs/>
      <w:color w:val="000000"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rsid w:val="00A86974"/>
    <w:rPr>
      <w:rFonts w:ascii="Arial" w:eastAsia="Arial" w:hAnsi="Arial" w:cs="Arial"/>
      <w:b/>
      <w:bCs/>
      <w:color w:val="000000"/>
      <w:lang w:val="en-GB"/>
    </w:rPr>
  </w:style>
  <w:style w:type="paragraph" w:styleId="Akapitzlist">
    <w:name w:val="List Paragraph"/>
    <w:basedOn w:val="Normalny"/>
    <w:link w:val="AkapitzlistZnak"/>
    <w:qFormat/>
    <w:rsid w:val="00A8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kapitzlistZnak">
    <w:name w:val="Akapit z listą Znak"/>
    <w:link w:val="Akapitzlist"/>
    <w:qFormat/>
    <w:rsid w:val="00A86974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link w:val="ListParagraphChar"/>
    <w:rsid w:val="00A869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Akapitzlist1"/>
    <w:rsid w:val="00A86974"/>
    <w:rPr>
      <w:rFonts w:ascii="Calibri" w:eastAsia="Times New Roman" w:hAnsi="Calibri" w:cs="Times New Roman"/>
      <w:lang w:val="en-GB"/>
    </w:rPr>
  </w:style>
  <w:style w:type="paragraph" w:customStyle="1" w:styleId="Numerowaniewtabeli">
    <w:name w:val="Numerowanie w tabeli"/>
    <w:basedOn w:val="Akapitzlist1"/>
    <w:rsid w:val="00A86974"/>
    <w:pPr>
      <w:numPr>
        <w:numId w:val="6"/>
      </w:numPr>
      <w:tabs>
        <w:tab w:val="num" w:pos="360"/>
      </w:tabs>
      <w:spacing w:before="120" w:after="0" w:line="252" w:lineRule="auto"/>
      <w:ind w:left="720" w:firstLine="0"/>
    </w:pPr>
    <w:rPr>
      <w:rFonts w:cs="Calibr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69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4835</Words>
  <Characters>29014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Kostecki Tomasz</dc:creator>
  <cp:keywords/>
  <dc:description/>
  <cp:lastModifiedBy>Woźniak  Adam</cp:lastModifiedBy>
  <cp:revision>2</cp:revision>
  <dcterms:created xsi:type="dcterms:W3CDTF">2024-07-24T11:04:00Z</dcterms:created>
  <dcterms:modified xsi:type="dcterms:W3CDTF">2024-07-24T11:04:00Z</dcterms:modified>
</cp:coreProperties>
</file>