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2ED1E2F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730A59">
        <w:rPr>
          <w:b/>
          <w:szCs w:val="20"/>
        </w:rPr>
        <w:t>70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30195A3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730A59">
        <w:rPr>
          <w:b/>
        </w:rPr>
        <w:t>70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564C99" w:rsidRPr="00564C99">
        <w:t xml:space="preserve"> </w:t>
      </w:r>
      <w:r w:rsidR="00730A59">
        <w:rPr>
          <w:b/>
        </w:rPr>
        <w:t>projektorów</w:t>
      </w:r>
      <w:bookmarkStart w:id="0" w:name="_GoBack"/>
      <w:bookmarkEnd w:id="0"/>
      <w:r w:rsidRPr="0021084F">
        <w:rPr>
          <w:b/>
          <w:bCs/>
        </w:rPr>
        <w:t>”</w:t>
      </w:r>
      <w:r w:rsidRPr="0021084F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851A323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AA09DD" w:rsidRPr="00AA09DD">
        <w:t xml:space="preserve"> </w:t>
      </w:r>
      <w:r w:rsidR="00AA09DD" w:rsidRPr="00AA09DD">
        <w:rPr>
          <w:bCs w:val="0"/>
        </w:rPr>
        <w:t>2023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</w:t>
      </w:r>
      <w:r w:rsidR="00AA09DD" w:rsidRPr="00AA09DD">
        <w:t xml:space="preserve"> </w:t>
      </w:r>
      <w:r w:rsidR="00AA09DD" w:rsidRPr="00AA09DD">
        <w:rPr>
          <w:bCs w:val="0"/>
        </w:rPr>
        <w:t>2023 poz. 826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 xml:space="preserve">finansowania przestępstwa o charakterze terrorystycznym, o którym mowa w art. 165a Kodeksu </w:t>
      </w:r>
      <w:r w:rsidRPr="00090ADB">
        <w:lastRenderedPageBreak/>
        <w:t>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</w:t>
      </w:r>
      <w:r w:rsidRPr="00090ADB">
        <w:lastRenderedPageBreak/>
        <w:t xml:space="preserve">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2940B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FD9541C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1A092C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4BE56EE3" w14:textId="77777777" w:rsidR="001A092C" w:rsidRDefault="001A092C" w:rsidP="001A092C">
    <w:pPr>
      <w:suppressAutoHyphens/>
      <w:spacing w:line="276" w:lineRule="auto"/>
      <w:rPr>
        <w:rFonts w:ascii="Arial" w:hAnsi="Arial" w:cs="Arial"/>
        <w:sz w:val="40"/>
        <w:szCs w:val="40"/>
        <w:lang w:eastAsia="ar-SA"/>
      </w:rPr>
    </w:pPr>
  </w:p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1A092C" w14:paraId="3F28224E" w14:textId="77777777" w:rsidTr="001A092C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BDBE96F" w14:textId="77777777" w:rsidR="001A092C" w:rsidRDefault="001A092C" w:rsidP="001A092C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7E972189" w14:textId="77777777" w:rsidR="001A092C" w:rsidRDefault="001A092C" w:rsidP="001A092C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06EE7949" w14:textId="77777777" w:rsidR="001A092C" w:rsidRDefault="001A092C" w:rsidP="001A092C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05AFAA62" w14:textId="2503C55B" w:rsidR="001A092C" w:rsidRDefault="001A092C" w:rsidP="001A092C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08CFD7C" wp14:editId="6E469660">
                <wp:extent cx="2171700" cy="257175"/>
                <wp:effectExtent l="0" t="0" r="0" b="9525"/>
                <wp:docPr id="3" name="Obraz 3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FA1838D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3ACD9696" w14:textId="7F69956A" w:rsidR="007069E8" w:rsidRPr="00602A59" w:rsidRDefault="007069E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730A5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B5A9B" w14:textId="0E503A56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24368A10" wp14:editId="753BB308">
          <wp:extent cx="5753100" cy="419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AFE17F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286AA246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2B09E07" w14:textId="052D6BFF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1" w:name="_Hlk138250738"/>
    <w:bookmarkStart w:id="2" w:name="_Hlk138250737"/>
    <w:bookmarkStart w:id="3" w:name="_Hlk138250248"/>
    <w:bookmarkStart w:id="4" w:name="_Hlk138250247"/>
    <w:bookmarkStart w:id="5" w:name="_Hlk127951160"/>
    <w:bookmarkStart w:id="6" w:name="_Hlk127951159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360E03B2" wp14:editId="7F65F322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AB4EA1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32F45965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  <w:bookmarkEnd w:id="1"/>
    <w:bookmarkEnd w:id="2"/>
    <w:bookmarkEnd w:id="3"/>
    <w:bookmarkEnd w:id="4"/>
    <w:bookmarkEnd w:id="5"/>
    <w:bookmarkEnd w:id="6"/>
  </w:p>
  <w:p w14:paraId="00206A67" w14:textId="72DEBBD3" w:rsidR="00EF058D" w:rsidRDefault="00EF058D" w:rsidP="002940BF">
    <w:pPr>
      <w:tabs>
        <w:tab w:val="left" w:pos="3300"/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92C"/>
    <w:rsid w:val="001A0C84"/>
    <w:rsid w:val="001B1AC0"/>
    <w:rsid w:val="001C43D0"/>
    <w:rsid w:val="001D05CD"/>
    <w:rsid w:val="001D46BB"/>
    <w:rsid w:val="001F4E57"/>
    <w:rsid w:val="001F7B7A"/>
    <w:rsid w:val="00200A27"/>
    <w:rsid w:val="0021084F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40B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0A59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C2FF1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09DD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C597F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FF92-5AEF-4326-B0D2-8E8983C3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56</cp:revision>
  <cp:lastPrinted>2024-06-17T08:49:00Z</cp:lastPrinted>
  <dcterms:created xsi:type="dcterms:W3CDTF">2022-05-19T08:38:00Z</dcterms:created>
  <dcterms:modified xsi:type="dcterms:W3CDTF">2024-08-27T07:53:00Z</dcterms:modified>
</cp:coreProperties>
</file>