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C09">
        <w:rPr>
          <w:rFonts w:ascii="Times New Roman" w:hAnsi="Times New Roman" w:cs="Times New Roman"/>
          <w:sz w:val="24"/>
          <w:szCs w:val="24"/>
        </w:rPr>
        <w:t xml:space="preserve">Przedmiotem zamówienia jest dostawa, montaż i uruchomienie systemu kontroli dostępu w serwerowni w Wojskowej Specjalistycznej Przychodni Lekarskiej SPZOZ w Stargardzie. </w:t>
      </w:r>
    </w:p>
    <w:p w:rsid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, miejsca zamocowań przewodów i </w:t>
      </w:r>
      <w:r w:rsidRPr="006C7C09">
        <w:rPr>
          <w:rFonts w:ascii="Times New Roman" w:hAnsi="Times New Roman" w:cs="Times New Roman"/>
          <w:sz w:val="24"/>
          <w:szCs w:val="24"/>
        </w:rPr>
        <w:t>urządzeń bezwzględnie powinny być uzgodnione z Zamawiającym – przed ich wykonaniem. Wykonawca zobowiązany jest przedstawić proponowane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niego rozwiązania w formie dokumentacji projektowej. Wykonawca winien uwzględnić wszelkie koszty związane z wykonaniem przedmiotu zamówienia, w</w:t>
      </w:r>
    </w:p>
    <w:p w:rsidR="0028361C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tym robót budowlanych związanych z montażem, prowadzenia przewodów (przekucia, przewierty, obudowanie, roboty wykończeniowe), a także pomiarów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sprawdzeń instalacji oraz przeszkoleniem pracowników Zamawiającego w zakresie obsługi urządzenia. Przy wykonywaniu prac modernizacyjnych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odpowiednio zabezpieczyć wyposażenie pomieszczeń przed kurzem, pyłem i innymi zanieczyszczeniami. Do prac można przystąpić jedynie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potwierdzenia przez Zamawiającego o wykonaniu właściwego zabezpieczenia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C09" w:rsidRPr="006C7C09" w:rsidRDefault="006C7C09" w:rsidP="006C7C0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Wymagane parametry, funkcje i wyposażenie: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kontroler dostępu – kontrola jednego przejścia obustronnie kontrolowanego, interfejs komunikacyjny Ethernet, możliwość podłączenia manipulatorów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 xml:space="preserve">oraz modułów rozszerzeń, możliwość obsługi za pomocą komputera, możliwość aktualizacji oprogramowania za pomocą komputera, rejestr historii wejść, 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obudowa centrali – montaż natynkowy, stopień ochrony IP20, wykonane z blachy w kolorze białym, zamykanie – skręcane x4, miejsce na akumulator 12V,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zabezpieczenie antysabotażowe (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tamper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 xml:space="preserve">) – otwarcie obudowy, w zestawie transformator, maksymalne wymiary obudowy: szerokość 33 cm, wysokość 40 cm, głębokość 10 cm, 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czytnik zbliżeniowy – identyfikacja za pomocą karty i kodu, wyposażona w diody LED informujące o stanie strefy, sygnalizację dźwiękową, przekaźnik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 xml:space="preserve">sterowania 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elektrozaczepem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, ryglem lub blokadą elektromagnetyczną, wejście do kontroli stanu drzwi, hermetyczna obudowa z możliwością montażu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>zewnątrz, optyczne zabezpieczenie sabotażowe reagujące na otwarcie obudowy i oderwanie od ściany, kolor obudowy: szary</w:t>
      </w:r>
    </w:p>
    <w:p w:rsidR="006C7C09" w:rsidRPr="006C7C09" w:rsidRDefault="006C7C09" w:rsidP="006C7C0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09">
        <w:rPr>
          <w:rFonts w:ascii="Times New Roman" w:hAnsi="Times New Roman" w:cs="Times New Roman"/>
          <w:sz w:val="24"/>
          <w:szCs w:val="24"/>
        </w:rPr>
        <w:t>zasilacz buforowy impulsowy – zasilacz umieszczony w metalowej obudowie, obudowa wyposażona w sygnalizację otwarcia drzwiczek (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tamper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09">
        <w:rPr>
          <w:rFonts w:ascii="Times New Roman" w:hAnsi="Times New Roman" w:cs="Times New Roman"/>
          <w:sz w:val="24"/>
          <w:szCs w:val="24"/>
        </w:rPr>
        <w:t xml:space="preserve">sygnalizacja optyczna LED, Zainstalowany akumulatory żelowy o minimalnej pojemności 7Ah, kontrola ładowania i konserwacji akumulatora, ochrona akumulatora przed nadmiernym rozładowaniem, zabezpieczenia przeciwzwarciowe, 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przeciwprzeciążeniowe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7C09">
        <w:rPr>
          <w:rFonts w:ascii="Times New Roman" w:hAnsi="Times New Roman" w:cs="Times New Roman"/>
          <w:sz w:val="24"/>
          <w:szCs w:val="24"/>
        </w:rPr>
        <w:t>przeciwprzegrzaniowe</w:t>
      </w:r>
      <w:proofErr w:type="spellEnd"/>
      <w:r w:rsidRPr="006C7C09">
        <w:rPr>
          <w:rFonts w:ascii="Times New Roman" w:hAnsi="Times New Roman" w:cs="Times New Roman"/>
          <w:sz w:val="24"/>
          <w:szCs w:val="24"/>
        </w:rPr>
        <w:t>, zasilacz impulsowy 12V DC o wysokiej sprawności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7C09" w:rsidRPr="006C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156"/>
    <w:multiLevelType w:val="hybridMultilevel"/>
    <w:tmpl w:val="BD0025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3548"/>
    <w:multiLevelType w:val="hybridMultilevel"/>
    <w:tmpl w:val="1E6A1A06"/>
    <w:lvl w:ilvl="0" w:tplc="683096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9"/>
    <w:rsid w:val="0028361C"/>
    <w:rsid w:val="006C7C09"/>
    <w:rsid w:val="00B70E17"/>
    <w:rsid w:val="00BF6744"/>
    <w:rsid w:val="00E173A3"/>
    <w:rsid w:val="00E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B973-CEF2-4A99-8FDA-FCE623B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2024-04-19T07:57:00Z</dcterms:created>
  <dcterms:modified xsi:type="dcterms:W3CDTF">2024-04-19T07:57:00Z</dcterms:modified>
</cp:coreProperties>
</file>