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93EB" w14:textId="77777777" w:rsidR="00CB3F9D" w:rsidRDefault="00CB3F9D">
      <w:pPr>
        <w:tabs>
          <w:tab w:val="left" w:pos="10005"/>
        </w:tabs>
        <w:ind w:firstLine="7920"/>
        <w:jc w:val="center"/>
        <w:rPr>
          <w:i/>
          <w:iCs/>
        </w:rPr>
      </w:pPr>
    </w:p>
    <w:tbl>
      <w:tblPr>
        <w:tblW w:w="141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73"/>
        <w:gridCol w:w="7069"/>
      </w:tblGrid>
      <w:tr w:rsidR="00CB3F9D" w14:paraId="1E53AE10" w14:textId="77777777">
        <w:tc>
          <w:tcPr>
            <w:tcW w:w="7072" w:type="dxa"/>
          </w:tcPr>
          <w:p w14:paraId="75F34FF8" w14:textId="77777777" w:rsidR="00CB3F9D" w:rsidRDefault="00CB3F9D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9" w:type="dxa"/>
          </w:tcPr>
          <w:p w14:paraId="124FE6BD" w14:textId="05C186E5" w:rsidR="00CB3F9D" w:rsidRDefault="00DD5F5C">
            <w:pPr>
              <w:widowControl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Sprawa Nr </w:t>
            </w:r>
            <w:r w:rsidR="00E203AB">
              <w:rPr>
                <w:b/>
                <w:bCs/>
                <w:sz w:val="20"/>
                <w:szCs w:val="20"/>
              </w:rPr>
              <w:t>42/D/2023</w:t>
            </w:r>
          </w:p>
        </w:tc>
      </w:tr>
    </w:tbl>
    <w:p w14:paraId="0B4967A5" w14:textId="77777777" w:rsidR="00CB3F9D" w:rsidRDefault="00DD5F5C">
      <w:pPr>
        <w:jc w:val="center"/>
        <w:rPr>
          <w:b/>
          <w:bCs/>
        </w:rPr>
      </w:pPr>
      <w:r>
        <w:rPr>
          <w:b/>
          <w:bCs/>
          <w:spacing w:val="40"/>
          <w:sz w:val="20"/>
          <w:szCs w:val="20"/>
        </w:rPr>
        <w:t>ARKUSZ ASORTYMENTOWO-CENOWY</w:t>
      </w:r>
    </w:p>
    <w:tbl>
      <w:tblPr>
        <w:tblW w:w="141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73"/>
        <w:gridCol w:w="7069"/>
      </w:tblGrid>
      <w:tr w:rsidR="00CB3F9D" w14:paraId="566D69F2" w14:textId="77777777">
        <w:tc>
          <w:tcPr>
            <w:tcW w:w="7072" w:type="dxa"/>
          </w:tcPr>
          <w:p w14:paraId="1A19D187" w14:textId="77777777" w:rsidR="00CB3F9D" w:rsidRDefault="00DD5F5C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CPV  33141620-2</w:t>
            </w:r>
          </w:p>
        </w:tc>
        <w:tc>
          <w:tcPr>
            <w:tcW w:w="7069" w:type="dxa"/>
          </w:tcPr>
          <w:p w14:paraId="6B87DE70" w14:textId="77777777" w:rsidR="00CB3F9D" w:rsidRDefault="00DD5F5C">
            <w:pPr>
              <w:widowControl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Załącznik  Nr 2</w:t>
            </w:r>
          </w:p>
        </w:tc>
      </w:tr>
    </w:tbl>
    <w:p w14:paraId="3E863B1C" w14:textId="77777777" w:rsidR="00CB3F9D" w:rsidRDefault="00CB3F9D">
      <w:pPr>
        <w:rPr>
          <w:sz w:val="20"/>
          <w:szCs w:val="20"/>
        </w:rPr>
      </w:pPr>
    </w:p>
    <w:tbl>
      <w:tblPr>
        <w:tblW w:w="15956" w:type="dxa"/>
        <w:jc w:val="center"/>
        <w:tblLayout w:type="fixed"/>
        <w:tblLook w:val="0000" w:firstRow="0" w:lastRow="0" w:firstColumn="0" w:lastColumn="0" w:noHBand="0" w:noVBand="0"/>
      </w:tblPr>
      <w:tblGrid>
        <w:gridCol w:w="3571"/>
        <w:gridCol w:w="1471"/>
        <w:gridCol w:w="1473"/>
        <w:gridCol w:w="1093"/>
        <w:gridCol w:w="1319"/>
        <w:gridCol w:w="887"/>
        <w:gridCol w:w="1452"/>
        <w:gridCol w:w="1141"/>
        <w:gridCol w:w="1481"/>
        <w:gridCol w:w="855"/>
        <w:gridCol w:w="1213"/>
      </w:tblGrid>
      <w:tr w:rsidR="00CB3F9D" w14:paraId="47DE2321" w14:textId="77777777">
        <w:trPr>
          <w:jc w:val="center"/>
        </w:trPr>
        <w:tc>
          <w:tcPr>
            <w:tcW w:w="357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3E9684FA" w14:textId="77777777" w:rsidR="00CB3F9D" w:rsidRDefault="00DD5F5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14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84290" w14:textId="77777777" w:rsidR="00CB3F9D" w:rsidRDefault="00DD5F5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handlowa</w:t>
            </w:r>
          </w:p>
        </w:tc>
        <w:tc>
          <w:tcPr>
            <w:tcW w:w="147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E5CB0" w14:textId="77777777" w:rsidR="00CB3F9D" w:rsidRDefault="00DD5F5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Proponowana wielkość opakowania</w:t>
            </w:r>
          </w:p>
        </w:tc>
        <w:tc>
          <w:tcPr>
            <w:tcW w:w="10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6A5A0" w14:textId="77777777" w:rsidR="00CB3F9D" w:rsidRDefault="00DD5F5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</w:t>
            </w:r>
          </w:p>
        </w:tc>
        <w:tc>
          <w:tcPr>
            <w:tcW w:w="131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CD539" w14:textId="77777777" w:rsidR="00CB3F9D" w:rsidRDefault="00DD5F5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 pochodzenia</w:t>
            </w:r>
          </w:p>
        </w:tc>
        <w:tc>
          <w:tcPr>
            <w:tcW w:w="88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CCD57" w14:textId="77777777" w:rsidR="00CB3F9D" w:rsidRDefault="00DD5F5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</w:t>
            </w:r>
          </w:p>
        </w:tc>
        <w:tc>
          <w:tcPr>
            <w:tcW w:w="14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E5015" w14:textId="77777777" w:rsidR="00CB3F9D" w:rsidRDefault="00DD5F5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</w:t>
            </w:r>
          </w:p>
        </w:tc>
        <w:tc>
          <w:tcPr>
            <w:tcW w:w="114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3086C" w14:textId="77777777" w:rsidR="00CB3F9D" w:rsidRDefault="00DD5F5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 netto (</w:t>
            </w:r>
            <w:proofErr w:type="spellStart"/>
            <w:r>
              <w:rPr>
                <w:sz w:val="20"/>
                <w:szCs w:val="20"/>
              </w:rPr>
              <w:t>pln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8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70C6D" w14:textId="77777777" w:rsidR="00CB3F9D" w:rsidRDefault="00DD5F5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 (</w:t>
            </w:r>
            <w:proofErr w:type="spellStart"/>
            <w:r>
              <w:rPr>
                <w:sz w:val="20"/>
                <w:szCs w:val="20"/>
              </w:rPr>
              <w:t>pln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4685E" w14:textId="77777777" w:rsidR="00CB3F9D" w:rsidRDefault="00DD5F5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21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B94D5E2" w14:textId="77777777" w:rsidR="00CB3F9D" w:rsidRDefault="00DD5F5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(</w:t>
            </w:r>
            <w:proofErr w:type="spellStart"/>
            <w:r>
              <w:rPr>
                <w:sz w:val="20"/>
                <w:szCs w:val="20"/>
              </w:rPr>
              <w:t>pln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B3F9D" w14:paraId="2B2743F2" w14:textId="77777777">
        <w:trPr>
          <w:trHeight w:val="1065"/>
          <w:jc w:val="center"/>
        </w:trPr>
        <w:tc>
          <w:tcPr>
            <w:tcW w:w="3570" w:type="dxa"/>
            <w:tcBorders>
              <w:top w:val="single" w:sz="4" w:space="0" w:color="000000"/>
              <w:left w:val="double" w:sz="2" w:space="0" w:color="000000"/>
            </w:tcBorders>
            <w:vAlign w:val="center"/>
          </w:tcPr>
          <w:p w14:paraId="2FF695B6" w14:textId="77777777" w:rsidR="00CB3F9D" w:rsidRDefault="00DD5F5C">
            <w:pPr>
              <w:widowControl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Zestawy do pobierania osocza, kompatybilne z posiadanym separatorem MCS+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A3019" w14:textId="77777777" w:rsidR="00CB3F9D" w:rsidRDefault="00CB3F9D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405C6" w14:textId="77777777" w:rsidR="00CB3F9D" w:rsidRDefault="00CB3F9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E5CD6" w14:textId="77777777" w:rsidR="00CB3F9D" w:rsidRDefault="00CB3F9D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C6AC4" w14:textId="77777777" w:rsidR="00CB3F9D" w:rsidRDefault="00CB3F9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89FB1" w14:textId="77777777" w:rsidR="00CB3F9D" w:rsidRDefault="00CB3F9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335DF" w14:textId="77777777" w:rsidR="00CB3F9D" w:rsidRDefault="00DD5F5C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odpowiednio dla ilości 600  dawców do pobierania osocza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68D6C" w14:textId="77777777" w:rsidR="00CB3F9D" w:rsidRDefault="00CB3F9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C20CE" w14:textId="77777777" w:rsidR="00CB3F9D" w:rsidRDefault="00CB3F9D">
            <w:pPr>
              <w:widowControl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35DFF" w14:textId="77777777" w:rsidR="00CB3F9D" w:rsidRDefault="00CB3F9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759CD56" w14:textId="77777777" w:rsidR="00CB3F9D" w:rsidRDefault="00CB3F9D">
            <w:pPr>
              <w:widowControl w:val="0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CB3F9D" w14:paraId="336C4D02" w14:textId="77777777">
        <w:trPr>
          <w:trHeight w:val="3424"/>
          <w:jc w:val="center"/>
        </w:trPr>
        <w:tc>
          <w:tcPr>
            <w:tcW w:w="15954" w:type="dxa"/>
            <w:gridSpan w:val="11"/>
            <w:tcBorders>
              <w:left w:val="double" w:sz="2" w:space="0" w:color="000000"/>
              <w:right w:val="double" w:sz="2" w:space="0" w:color="000000"/>
            </w:tcBorders>
            <w:vAlign w:val="center"/>
          </w:tcPr>
          <w:p w14:paraId="1C665D61" w14:textId="77777777" w:rsidR="00CB3F9D" w:rsidRPr="00E203AB" w:rsidRDefault="00DD5F5C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Kompatybilne z posiadanymi przez Zamawiającego urz</w:t>
            </w:r>
            <w:r>
              <w:rPr>
                <w:sz w:val="20"/>
                <w:szCs w:val="20"/>
              </w:rPr>
              <w:t xml:space="preserve">ądzeniami separatorami  MCS+ firmy </w:t>
            </w:r>
            <w:proofErr w:type="spellStart"/>
            <w:r>
              <w:rPr>
                <w:sz w:val="20"/>
                <w:szCs w:val="20"/>
              </w:rPr>
              <w:t>Heamonetics</w:t>
            </w:r>
            <w:proofErr w:type="spellEnd"/>
            <w:r>
              <w:rPr>
                <w:sz w:val="20"/>
                <w:szCs w:val="20"/>
              </w:rPr>
              <w:t xml:space="preserve">, rutynowo przetestowane pod kątem bezpiecznej pracy w połączeniu ze sobą,  zestawy jednorazowego użytku służące do pobierania osocza metodą plazmaferezy automatycznej wraz  pojemnikami </w:t>
            </w:r>
            <w:proofErr w:type="spellStart"/>
            <w:r>
              <w:rPr>
                <w:sz w:val="20"/>
                <w:szCs w:val="20"/>
              </w:rPr>
              <w:t>kolekcyjnymi</w:t>
            </w:r>
            <w:proofErr w:type="spellEnd"/>
            <w:r>
              <w:rPr>
                <w:sz w:val="20"/>
                <w:szCs w:val="20"/>
              </w:rPr>
              <w:t xml:space="preserve"> na osocze (zestawy rozłączne). Dokument potwierdzający, że </w:t>
            </w:r>
            <w:r w:rsidRPr="00E203AB">
              <w:rPr>
                <w:sz w:val="20"/>
                <w:szCs w:val="20"/>
              </w:rPr>
              <w:t>zestawy zostały dopuszczone do użytku przez producenta separatora MCS+.</w:t>
            </w:r>
          </w:p>
          <w:p w14:paraId="2BC5E316" w14:textId="073995FD" w:rsidR="009F2CC9" w:rsidRPr="00E203AB" w:rsidRDefault="009F2CC9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  <w:r w:rsidRPr="00E203AB">
              <w:rPr>
                <w:sz w:val="20"/>
                <w:szCs w:val="20"/>
              </w:rPr>
              <w:t xml:space="preserve">Zamawiający nie musi wykonywać żadnych czynności aktualizujących lub dostosowujących posiadanego separatora MCS+ aby zapewnić kompatybilność z zamawianymi zestawami do pobierania osocza. </w:t>
            </w:r>
          </w:p>
          <w:p w14:paraId="1E190A23" w14:textId="77777777" w:rsidR="00CB3F9D" w:rsidRDefault="00DD5F5C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Jałowe łączenie elementów zestawu.</w:t>
            </w:r>
          </w:p>
          <w:p w14:paraId="41A6A786" w14:textId="77777777" w:rsidR="00CB3F9D" w:rsidRDefault="00DD5F5C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Produkty jednorazowego użytku, jałowe i  </w:t>
            </w:r>
            <w:proofErr w:type="spellStart"/>
            <w:r>
              <w:rPr>
                <w:sz w:val="20"/>
                <w:szCs w:val="20"/>
              </w:rPr>
              <w:t>apirogenne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1758C1C" w14:textId="77777777" w:rsidR="00CB3F9D" w:rsidRDefault="00DD5F5C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Zestawy wyposażone w porty umożliwiające jałowe przyłączenie płynów.</w:t>
            </w:r>
          </w:p>
          <w:p w14:paraId="058CCC24" w14:textId="77777777" w:rsidR="00CB3F9D" w:rsidRDefault="00DD5F5C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Etykieta  opakowania jednostkowego właściwego zestawu separacyjnego zawiera znak CE, nazwę i adres producenta, numer katalogowy REF w postaci literowo-cyfrowej, numer serii LOT w postaci literowo-cyfrowej i kodu kreskowego w formacie GS1-128 (będącego kodem EAN 128), datę ważności w postaci literowo-cyfrowej i kodu kreskowego w formacie GS1-128 (EAN 128).</w:t>
            </w:r>
          </w:p>
          <w:p w14:paraId="05803CE0" w14:textId="77777777" w:rsidR="00CB3F9D" w:rsidRDefault="00DD5F5C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zapewni przeszkolenie personelu Zamawiającego przed pierwszym użyciem zestawu.</w:t>
            </w:r>
          </w:p>
          <w:p w14:paraId="23AC0EE8" w14:textId="77777777" w:rsidR="00CB3F9D" w:rsidRDefault="00CB3F9D">
            <w:pPr>
              <w:widowControl w:val="0"/>
              <w:rPr>
                <w:sz w:val="20"/>
                <w:szCs w:val="20"/>
              </w:rPr>
            </w:pPr>
          </w:p>
          <w:p w14:paraId="1AC4903B" w14:textId="77777777" w:rsidR="00CB3F9D" w:rsidRDefault="00DD5F5C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Pojemniki </w:t>
            </w:r>
            <w:proofErr w:type="spellStart"/>
            <w:r>
              <w:rPr>
                <w:sz w:val="20"/>
                <w:szCs w:val="20"/>
              </w:rPr>
              <w:t>kolekcyjne</w:t>
            </w:r>
            <w:proofErr w:type="spellEnd"/>
            <w:r>
              <w:rPr>
                <w:sz w:val="20"/>
                <w:szCs w:val="20"/>
              </w:rPr>
              <w:t xml:space="preserve"> do pobierania i przechowywania osocza:</w:t>
            </w:r>
          </w:p>
          <w:p w14:paraId="01DDF8E3" w14:textId="77777777" w:rsidR="00CB3F9D" w:rsidRDefault="00DD5F5C">
            <w:pPr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pojemnik zamknięty w  indywidualnym opakowaniu zabezpieczającym, zapewniającym odpowiednią wilgotność w czasie przechowywania,</w:t>
            </w:r>
          </w:p>
          <w:p w14:paraId="3BA1BA96" w14:textId="77777777" w:rsidR="00CB3F9D" w:rsidRDefault="00DD5F5C">
            <w:pPr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pojedyncze pojemniki zapakowane w odporne na uszkodzenia opakowanie zbiorcze,</w:t>
            </w:r>
          </w:p>
          <w:p w14:paraId="467FE715" w14:textId="77777777" w:rsidR="00CB3F9D" w:rsidRDefault="00DD5F5C">
            <w:pPr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zbiorcze zawiera zestawy tylko jednej serii,</w:t>
            </w:r>
          </w:p>
          <w:p w14:paraId="33D0F243" w14:textId="77777777" w:rsidR="00CB3F9D" w:rsidRDefault="00DD5F5C">
            <w:pPr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opakowaniu muszą znajdować się informacje o zaleceniach producenta co do warunków przechowywania,</w:t>
            </w:r>
          </w:p>
          <w:p w14:paraId="71EAC1D0" w14:textId="77777777" w:rsidR="00CB3F9D" w:rsidRDefault="00DD5F5C">
            <w:pPr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pojemniki o objętości nominalnej 1000 ml, może zawierać </w:t>
            </w:r>
            <w:proofErr w:type="spellStart"/>
            <w:r>
              <w:rPr>
                <w:sz w:val="20"/>
                <w:szCs w:val="20"/>
              </w:rPr>
              <w:t>ftaleny</w:t>
            </w:r>
            <w:proofErr w:type="spellEnd"/>
            <w:r>
              <w:rPr>
                <w:sz w:val="20"/>
                <w:szCs w:val="20"/>
              </w:rPr>
              <w:t>, umożliwiającego zamrażanie osocza w temperaturze -60°C i przechowywanie w temperaturze -25°C,</w:t>
            </w:r>
          </w:p>
          <w:p w14:paraId="561A41B8" w14:textId="77777777" w:rsidR="00CB3F9D" w:rsidRDefault="00DD5F5C">
            <w:pPr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trwale umocowaną etykietę, która nie ulega uszkodzeniom ani odklejeniu w czasie preparatyki i przechowywania,</w:t>
            </w:r>
          </w:p>
          <w:p w14:paraId="4858251B" w14:textId="77777777" w:rsidR="00CB3F9D" w:rsidRDefault="00DD5F5C">
            <w:pPr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etykieta posiada wymiary umożliwiające przyklejenie na niej etykiety głównej zgodnie z wymaganiami ISBT,</w:t>
            </w:r>
          </w:p>
          <w:p w14:paraId="789460E9" w14:textId="77777777" w:rsidR="00CB3F9D" w:rsidRDefault="00DD5F5C">
            <w:pPr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etykieta pojemnika odbiorczego posiada znak CE, zawiera nazwę producenta, numer katalogowy REF i numer serii LOT w postaci literowo-cyfrowej oraz kodów kreskowych w standardzie ISBT 128,</w:t>
            </w:r>
          </w:p>
          <w:p w14:paraId="6F56BE42" w14:textId="77777777" w:rsidR="00CB3F9D" w:rsidRDefault="00DD5F5C">
            <w:pPr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etykieta opakowania jednostkowego pojemnika odbiorczego posiada znak CE, zawiera nazwę i adres producenta, zawiera numer katalogowy REF i numer serii LOT w postaci literowo-cyfrowej oraz kodu kreskowego w formacie GS1-128 (będącego kodem EAN 128),</w:t>
            </w:r>
          </w:p>
          <w:p w14:paraId="6DCDCE4E" w14:textId="77777777" w:rsidR="00CB3F9D" w:rsidRDefault="00DD5F5C">
            <w:pPr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dren powinien być elastyczny z możliwością łatwego rolowania i skutecznego wykonywania </w:t>
            </w:r>
            <w:proofErr w:type="spellStart"/>
            <w:r>
              <w:rPr>
                <w:sz w:val="20"/>
                <w:szCs w:val="20"/>
              </w:rPr>
              <w:t>zgrzewów</w:t>
            </w:r>
            <w:proofErr w:type="spellEnd"/>
            <w:r>
              <w:rPr>
                <w:sz w:val="20"/>
                <w:szCs w:val="20"/>
              </w:rPr>
              <w:t xml:space="preserve"> na zgrzewarkach różnego typu posiadanych przez Zamawiającego, celem pobrania próbek do badań kontroli jakości,</w:t>
            </w:r>
          </w:p>
          <w:p w14:paraId="0B706892" w14:textId="77777777" w:rsidR="00CB3F9D" w:rsidRDefault="00DD5F5C">
            <w:pPr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średnica drenów pojemników do przechowywania osocza o wymiarach zapewniających wzajemną kompatybilność drenów różnych producentów tak, aby umożliwić ich połączenie w układzie otwartym i zamkniętym przy użyciu dostępnych w siedzibie Zamawiającego zgrzewarek do sterylnego łączenia drenów,</w:t>
            </w:r>
          </w:p>
          <w:p w14:paraId="7268619B" w14:textId="77777777" w:rsidR="00CB3F9D" w:rsidRDefault="00DD5F5C">
            <w:pPr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pojemniki do przechowywania osocza zawierające co najmniej 2 porty, zabezpieczone błoną od wewnątrz oraz odpowiednią ochroną z zewnątrz zapewniającą jałowość, umożliwiające łatwy dostęp do podłączenia zestawu do przetoczenia,</w:t>
            </w:r>
          </w:p>
          <w:p w14:paraId="29757CD5" w14:textId="77777777" w:rsidR="00CB3F9D" w:rsidRDefault="00DD5F5C">
            <w:pPr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centralnie na dolnej krawędzi pojemników do przechowywania osocza podłużne nacięcie materiału pojemnika o długości około 2 cm, umożliwiające zawieszenie pojemników na </w:t>
            </w:r>
            <w:proofErr w:type="spellStart"/>
            <w:r>
              <w:rPr>
                <w:sz w:val="20"/>
                <w:szCs w:val="20"/>
              </w:rPr>
              <w:t>haczkach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1B42C53B" w14:textId="77777777" w:rsidR="00CB3F9D" w:rsidRDefault="00DD5F5C">
            <w:pPr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długość drenu pow. 60 cm,</w:t>
            </w:r>
          </w:p>
          <w:p w14:paraId="6B9537B5" w14:textId="77777777" w:rsidR="00CB3F9D" w:rsidRDefault="00DD5F5C">
            <w:pPr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poddany  sterylizacji za pomocą napromieniowania.</w:t>
            </w:r>
          </w:p>
          <w:p w14:paraId="5686FB56" w14:textId="77777777" w:rsidR="00CB3F9D" w:rsidRDefault="00CB3F9D">
            <w:pPr>
              <w:widowControl w:val="0"/>
              <w:ind w:left="340"/>
              <w:rPr>
                <w:sz w:val="20"/>
                <w:szCs w:val="20"/>
              </w:rPr>
            </w:pPr>
          </w:p>
          <w:p w14:paraId="1364F154" w14:textId="77777777" w:rsidR="00CB3F9D" w:rsidRDefault="00DD5F5C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Rotor:</w:t>
            </w:r>
          </w:p>
          <w:p w14:paraId="228AEA40" w14:textId="77777777" w:rsidR="00CB3F9D" w:rsidRDefault="00DD5F5C">
            <w:pPr>
              <w:widowControl w:val="0"/>
              <w:numPr>
                <w:ilvl w:val="0"/>
                <w:numId w:val="4"/>
              </w:numPr>
              <w:ind w:left="0" w:right="227" w:firstLine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pojemnik zamknięty w indywidualnym opakowaniu zabezpieczającym, zapewniającym odpowiednią wilgotność w czasie przechowywania,</w:t>
            </w:r>
          </w:p>
          <w:p w14:paraId="46495EB5" w14:textId="77777777" w:rsidR="00CB3F9D" w:rsidRDefault="00DD5F5C">
            <w:pPr>
              <w:widowControl w:val="0"/>
              <w:numPr>
                <w:ilvl w:val="0"/>
                <w:numId w:val="4"/>
              </w:numPr>
              <w:ind w:left="0" w:right="227" w:firstLine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pojedyncze pojemniki zapakowane w odporne na uszkodzenia opakowanie zbiorcze,</w:t>
            </w:r>
          </w:p>
          <w:p w14:paraId="07C32E35" w14:textId="77777777" w:rsidR="00CB3F9D" w:rsidRDefault="00DD5F5C">
            <w:pPr>
              <w:widowControl w:val="0"/>
              <w:numPr>
                <w:ilvl w:val="0"/>
                <w:numId w:val="4"/>
              </w:numPr>
              <w:ind w:left="0" w:right="227" w:firstLine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zbiorcze zawiera zestawy tylko jednej serii,</w:t>
            </w:r>
          </w:p>
          <w:p w14:paraId="65D062AC" w14:textId="77777777" w:rsidR="00CB3F9D" w:rsidRDefault="00DD5F5C">
            <w:pPr>
              <w:widowControl w:val="0"/>
              <w:numPr>
                <w:ilvl w:val="0"/>
                <w:numId w:val="4"/>
              </w:numPr>
              <w:ind w:left="0" w:right="227" w:firstLine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opakowaniu muszą znajdować się informacje o zaleceniach producenta co do warunków przechowywania,</w:t>
            </w:r>
          </w:p>
          <w:p w14:paraId="06663BE7" w14:textId="77777777" w:rsidR="00CB3F9D" w:rsidRDefault="00DD5F5C">
            <w:pPr>
              <w:widowControl w:val="0"/>
              <w:numPr>
                <w:ilvl w:val="0"/>
                <w:numId w:val="4"/>
              </w:numPr>
              <w:ind w:left="0" w:right="227" w:firstLine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pojemniki o objętości nominalnej 275 ml,</w:t>
            </w:r>
          </w:p>
          <w:p w14:paraId="1B14B11C" w14:textId="77777777" w:rsidR="00CB3F9D" w:rsidRDefault="00DD5F5C">
            <w:pPr>
              <w:widowControl w:val="0"/>
              <w:numPr>
                <w:ilvl w:val="0"/>
                <w:numId w:val="4"/>
              </w:numPr>
              <w:ind w:left="-57" w:right="340" w:firstLine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jednostkowego pojemnika odbiorczego posiada znak CE, zawiera nazwę i adres producenta, zawiera numer katalogowy REF i numer serii LOT w postaci literowo-         cyfrowej oraz kodu kreskowego w formacie GS1-128 (będącego kodem EAN 128),</w:t>
            </w:r>
          </w:p>
          <w:p w14:paraId="03DB4EC0" w14:textId="77777777" w:rsidR="00CB3F9D" w:rsidRDefault="00DD5F5C">
            <w:pPr>
              <w:widowControl w:val="0"/>
              <w:numPr>
                <w:ilvl w:val="0"/>
                <w:numId w:val="4"/>
              </w:numPr>
              <w:ind w:left="0" w:right="227" w:firstLine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poddany sterylizacji za pomocą napromieniowania.</w:t>
            </w:r>
          </w:p>
          <w:p w14:paraId="0F68CB7C" w14:textId="77777777" w:rsidR="00CB3F9D" w:rsidRDefault="00CB3F9D">
            <w:pPr>
              <w:widowControl w:val="0"/>
              <w:ind w:right="227"/>
              <w:rPr>
                <w:sz w:val="20"/>
                <w:szCs w:val="20"/>
              </w:rPr>
            </w:pPr>
          </w:p>
          <w:p w14:paraId="4252FC35" w14:textId="77777777" w:rsidR="00CB3F9D" w:rsidRDefault="00DD5F5C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drenów dawcy:</w:t>
            </w:r>
          </w:p>
          <w:p w14:paraId="04A264E2" w14:textId="77777777" w:rsidR="00CB3F9D" w:rsidRDefault="00DD5F5C">
            <w:pPr>
              <w:widowControl w:val="0"/>
              <w:tabs>
                <w:tab w:val="left" w:pos="360"/>
              </w:tabs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1) każdy zestaw zamknięty w indywidualnym opakowaniu zabezpieczającym, zapewniającym odpowiednią wilgotność w czasie przechowywania,</w:t>
            </w:r>
          </w:p>
          <w:p w14:paraId="6504ED98" w14:textId="77777777" w:rsidR="00CB3F9D" w:rsidRDefault="00DD5F5C">
            <w:pPr>
              <w:widowControl w:val="0"/>
              <w:tabs>
                <w:tab w:val="left" w:pos="360"/>
              </w:tabs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2) pojedyncze zestawy zapakowane w odporne na uszkodzenia opakowanie zbiorcze,</w:t>
            </w:r>
          </w:p>
          <w:p w14:paraId="091BC29A" w14:textId="77777777" w:rsidR="00CB3F9D" w:rsidRDefault="00DD5F5C">
            <w:pPr>
              <w:widowControl w:val="0"/>
              <w:tabs>
                <w:tab w:val="left" w:pos="360"/>
              </w:tabs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3) opakowanie zbiorcze zawiera zestawy tylko jednej serii,</w:t>
            </w:r>
          </w:p>
          <w:p w14:paraId="09055462" w14:textId="77777777" w:rsidR="00CB3F9D" w:rsidRDefault="00DD5F5C">
            <w:pPr>
              <w:widowControl w:val="0"/>
              <w:ind w:righ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4) na opakowaniu muszą znajdować się informacje o zaleceniach producenta co do warunków przechowywania,</w:t>
            </w:r>
          </w:p>
          <w:p w14:paraId="2C82DD30" w14:textId="77777777" w:rsidR="00CB3F9D" w:rsidRDefault="00DD5F5C">
            <w:pPr>
              <w:widowControl w:val="0"/>
              <w:ind w:righ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5) poddany sterylizacji za pomocą napromieniowani.</w:t>
            </w:r>
          </w:p>
        </w:tc>
      </w:tr>
      <w:tr w:rsidR="00CB3F9D" w14:paraId="2B66043A" w14:textId="77777777">
        <w:trPr>
          <w:trHeight w:val="104"/>
          <w:jc w:val="center"/>
        </w:trPr>
        <w:tc>
          <w:tcPr>
            <w:tcW w:w="15954" w:type="dxa"/>
            <w:gridSpan w:val="11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CD32602" w14:textId="77777777" w:rsidR="00CB3F9D" w:rsidRDefault="00CB3F9D">
            <w:pPr>
              <w:widowControl w:val="0"/>
              <w:tabs>
                <w:tab w:val="left" w:pos="10345"/>
              </w:tabs>
              <w:snapToGrid w:val="0"/>
              <w:jc w:val="both"/>
            </w:pPr>
          </w:p>
        </w:tc>
      </w:tr>
    </w:tbl>
    <w:p w14:paraId="03BCF553" w14:textId="77777777" w:rsidR="00CB3F9D" w:rsidRDefault="00CB3F9D">
      <w:pPr>
        <w:jc w:val="both"/>
        <w:rPr>
          <w:sz w:val="20"/>
          <w:szCs w:val="20"/>
        </w:rPr>
      </w:pPr>
    </w:p>
    <w:p w14:paraId="031C12E0" w14:textId="77777777" w:rsidR="00CB3F9D" w:rsidRDefault="00CB3F9D">
      <w:pPr>
        <w:jc w:val="center"/>
        <w:rPr>
          <w:sz w:val="20"/>
        </w:rPr>
      </w:pPr>
    </w:p>
    <w:tbl>
      <w:tblPr>
        <w:tblW w:w="15748" w:type="dxa"/>
        <w:jc w:val="center"/>
        <w:tblLayout w:type="fixed"/>
        <w:tblLook w:val="04A0" w:firstRow="1" w:lastRow="0" w:firstColumn="1" w:lastColumn="0" w:noHBand="0" w:noVBand="1"/>
      </w:tblPr>
      <w:tblGrid>
        <w:gridCol w:w="6826"/>
        <w:gridCol w:w="4208"/>
        <w:gridCol w:w="4714"/>
      </w:tblGrid>
      <w:tr w:rsidR="00CB3F9D" w14:paraId="5A361322" w14:textId="77777777">
        <w:trPr>
          <w:jc w:val="center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CC4CF" w14:textId="77777777" w:rsidR="00CB3F9D" w:rsidRDefault="00DD5F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Informacja ogólna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72432" w14:textId="77777777" w:rsidR="00CB3F9D" w:rsidRDefault="00DD5F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Parametr wymagany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491B2" w14:textId="77777777" w:rsidR="00CB3F9D" w:rsidRDefault="00DD5F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Wypełnia Wykonawca</w:t>
            </w:r>
          </w:p>
        </w:tc>
      </w:tr>
      <w:tr w:rsidR="00CB3F9D" w14:paraId="457977D9" w14:textId="77777777">
        <w:trPr>
          <w:jc w:val="center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8E567" w14:textId="77777777" w:rsidR="00CB3F9D" w:rsidRDefault="00DD5F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Czas dostawy do magazynu Zamawiającego –</w:t>
            </w:r>
          </w:p>
          <w:p w14:paraId="09D58965" w14:textId="77777777" w:rsidR="00CB3F9D" w:rsidRDefault="00DD5F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maksymalnie w ciągu 14 dni roboczych od otrzymania zamówienia przez Wykonawcę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4AD86" w14:textId="77777777" w:rsidR="00CB3F9D" w:rsidRDefault="00DD5F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Tak, podać oferowany czas dostawy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1D29C" w14:textId="77777777" w:rsidR="00CB3F9D" w:rsidRDefault="00DD5F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…….dni</w:t>
            </w:r>
            <w:r>
              <w:rPr>
                <w:sz w:val="20"/>
                <w:szCs w:val="20"/>
              </w:rPr>
              <w:t xml:space="preserve"> roboczych</w:t>
            </w:r>
          </w:p>
        </w:tc>
      </w:tr>
      <w:tr w:rsidR="00CB3F9D" w14:paraId="3BF63118" w14:textId="77777777">
        <w:trPr>
          <w:trHeight w:val="399"/>
          <w:jc w:val="center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79D1E" w14:textId="77777777" w:rsidR="00CB3F9D" w:rsidRDefault="00CB3F9D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39536735" w14:textId="77777777" w:rsidR="00CB3F9D" w:rsidRDefault="00DD5F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Termin ważności produktu – nie krótszy niż 12  miesięcy od dnia dostawy</w:t>
            </w:r>
          </w:p>
          <w:p w14:paraId="4FAB37E4" w14:textId="77777777" w:rsidR="00CB3F9D" w:rsidRDefault="00CB3F9D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68C0549" w14:textId="77777777" w:rsidR="00CB3F9D" w:rsidRDefault="00CB3F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AB17" w14:textId="77777777" w:rsidR="00CB3F9D" w:rsidRDefault="00DD5F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Tak, podać termin ważności produktu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78F03" w14:textId="77777777" w:rsidR="00CB3F9D" w:rsidRDefault="00DD5F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……….miesięcy</w:t>
            </w:r>
          </w:p>
        </w:tc>
      </w:tr>
    </w:tbl>
    <w:p w14:paraId="6EC638BD" w14:textId="77777777" w:rsidR="00CB3F9D" w:rsidRDefault="00CB3F9D">
      <w:pPr>
        <w:widowControl w:val="0"/>
        <w:rPr>
          <w:b/>
          <w:sz w:val="20"/>
        </w:rPr>
      </w:pPr>
    </w:p>
    <w:p w14:paraId="457B8E64" w14:textId="77777777" w:rsidR="00CB3F9D" w:rsidRDefault="00CB3F9D">
      <w:pPr>
        <w:rPr>
          <w:sz w:val="20"/>
        </w:rPr>
      </w:pPr>
    </w:p>
    <w:p w14:paraId="3012632D" w14:textId="77777777" w:rsidR="00CB3F9D" w:rsidRDefault="00CB3F9D">
      <w:pPr>
        <w:rPr>
          <w:sz w:val="20"/>
        </w:rPr>
      </w:pPr>
    </w:p>
    <w:p w14:paraId="4C738ED0" w14:textId="77777777" w:rsidR="00CB3F9D" w:rsidRDefault="00DD5F5C">
      <w:pPr>
        <w:rPr>
          <w:b/>
          <w:bCs/>
        </w:rPr>
      </w:pPr>
      <w:r>
        <w:rPr>
          <w:b/>
          <w:bCs/>
          <w:sz w:val="20"/>
        </w:rPr>
        <w:lastRenderedPageBreak/>
        <w:t>W celu potwierdzenia, że oferowane dostawy odpowiadają wymaganiom określonym przez Zamawiającego, Zamawiający będzie żądał następujących dokumentów:</w:t>
      </w:r>
    </w:p>
    <w:p w14:paraId="083A96C2" w14:textId="77777777" w:rsidR="00CB3F9D" w:rsidRDefault="00DD5F5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</w:rPr>
        <w:t>instrukcji używania w języku polskim,</w:t>
      </w:r>
    </w:p>
    <w:p w14:paraId="4AB6581C" w14:textId="77777777" w:rsidR="00CB3F9D" w:rsidRDefault="00DD5F5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</w:rPr>
        <w:t>dokumentu CE,</w:t>
      </w:r>
    </w:p>
    <w:p w14:paraId="505EF686" w14:textId="77777777" w:rsidR="00CB3F9D" w:rsidRDefault="00DD5F5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</w:rPr>
        <w:t xml:space="preserve">zgłoszenia do bazy danych  Prezesa </w:t>
      </w:r>
      <w:proofErr w:type="spellStart"/>
      <w:r>
        <w:rPr>
          <w:sz w:val="20"/>
        </w:rPr>
        <w:t>URPLWMiPB</w:t>
      </w:r>
      <w:proofErr w:type="spellEnd"/>
      <w:r>
        <w:rPr>
          <w:sz w:val="20"/>
        </w:rPr>
        <w:t xml:space="preserve"> na podstawie ustawy z dnia 7 kwietnia 2022 r. o wyrobach medycznych lub powiadomienie Prezesa  </w:t>
      </w:r>
      <w:proofErr w:type="spellStart"/>
      <w:r>
        <w:rPr>
          <w:sz w:val="20"/>
        </w:rPr>
        <w:t>URPLWMiPB</w:t>
      </w:r>
      <w:proofErr w:type="spellEnd"/>
      <w:r>
        <w:rPr>
          <w:sz w:val="20"/>
        </w:rPr>
        <w:t xml:space="preserve"> o wprowadzeniu wyrobu na terytorium RP na podstawie ustawy z dnia 7 kwietnia 2022 r. o wyrobach medycznych.</w:t>
      </w:r>
    </w:p>
    <w:p w14:paraId="6624500A" w14:textId="77777777" w:rsidR="00CB3F9D" w:rsidRDefault="00CB3F9D">
      <w:pPr>
        <w:jc w:val="both"/>
        <w:rPr>
          <w:sz w:val="20"/>
        </w:rPr>
      </w:pPr>
    </w:p>
    <w:p w14:paraId="1A1F75EA" w14:textId="77777777" w:rsidR="00CB3F9D" w:rsidRDefault="00DD5F5C">
      <w:pPr>
        <w:jc w:val="both"/>
        <w:rPr>
          <w:sz w:val="20"/>
          <w:szCs w:val="20"/>
        </w:rPr>
      </w:pPr>
      <w:r>
        <w:rPr>
          <w:b/>
          <w:sz w:val="20"/>
        </w:rPr>
        <w:t>Miejsce dostawy</w:t>
      </w:r>
      <w:r>
        <w:rPr>
          <w:sz w:val="20"/>
        </w:rPr>
        <w:t>: Zespół Medyczny w Warszawie  oraz Terenowa Stacja we Wrocławiu lub Bydgoszczy.</w:t>
      </w:r>
    </w:p>
    <w:p w14:paraId="43FB4329" w14:textId="77777777" w:rsidR="00CB3F9D" w:rsidRDefault="00CB3F9D">
      <w:pPr>
        <w:pStyle w:val="Tekstpodstawowywcity31"/>
        <w:spacing w:after="0"/>
        <w:ind w:left="720" w:right="201"/>
        <w:jc w:val="both"/>
        <w:rPr>
          <w:sz w:val="22"/>
        </w:rPr>
      </w:pPr>
    </w:p>
    <w:p w14:paraId="194C5BBB" w14:textId="77777777" w:rsidR="00CB3F9D" w:rsidRDefault="00CB3F9D">
      <w:pPr>
        <w:pStyle w:val="Tekstpodstawowywcity3"/>
        <w:spacing w:after="0"/>
        <w:ind w:left="720" w:right="201"/>
        <w:jc w:val="both"/>
        <w:rPr>
          <w:sz w:val="22"/>
        </w:rPr>
      </w:pPr>
    </w:p>
    <w:p w14:paraId="2167D4A0" w14:textId="77777777" w:rsidR="00CB3F9D" w:rsidRDefault="00DD5F5C">
      <w:pPr>
        <w:pStyle w:val="Tekstpodstawowywcity3"/>
        <w:spacing w:after="0"/>
        <w:ind w:left="720" w:right="201"/>
        <w:jc w:val="both"/>
        <w:rPr>
          <w:sz w:val="20"/>
          <w:szCs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754C0BD" w14:textId="77777777" w:rsidR="00CB3F9D" w:rsidRDefault="00DD5F5C">
      <w:pPr>
        <w:ind w:firstLine="9356"/>
        <w:jc w:val="center"/>
        <w:rPr>
          <w:sz w:val="20"/>
          <w:szCs w:val="20"/>
        </w:rPr>
      </w:pPr>
      <w:r>
        <w:rPr>
          <w:sz w:val="20"/>
        </w:rPr>
        <w:tab/>
      </w:r>
      <w:r>
        <w:rPr>
          <w:i/>
          <w:sz w:val="20"/>
        </w:rPr>
        <w:t xml:space="preserve"> </w:t>
      </w:r>
      <w:r>
        <w:rPr>
          <w:sz w:val="20"/>
        </w:rPr>
        <w:t>…………………………………</w:t>
      </w:r>
    </w:p>
    <w:p w14:paraId="7972D87D" w14:textId="77777777" w:rsidR="00CB3F9D" w:rsidRDefault="00DD5F5C">
      <w:pPr>
        <w:ind w:firstLine="9356"/>
        <w:jc w:val="center"/>
        <w:rPr>
          <w:sz w:val="20"/>
          <w:szCs w:val="20"/>
        </w:rPr>
      </w:pPr>
      <w:r>
        <w:rPr>
          <w:i/>
          <w:sz w:val="20"/>
        </w:rPr>
        <w:t>(znak graficzny podpisu)</w:t>
      </w:r>
    </w:p>
    <w:p w14:paraId="45E83EB4" w14:textId="77777777" w:rsidR="00CB3F9D" w:rsidRDefault="00CB3F9D">
      <w:pPr>
        <w:tabs>
          <w:tab w:val="left" w:pos="10005"/>
        </w:tabs>
        <w:ind w:left="1068"/>
        <w:rPr>
          <w:i/>
          <w:sz w:val="20"/>
        </w:rPr>
      </w:pPr>
    </w:p>
    <w:p w14:paraId="79BA4CA3" w14:textId="77777777" w:rsidR="00CB3F9D" w:rsidRDefault="00CB3F9D">
      <w:pPr>
        <w:jc w:val="both"/>
        <w:rPr>
          <w:sz w:val="20"/>
          <w:szCs w:val="20"/>
        </w:rPr>
      </w:pPr>
    </w:p>
    <w:sectPr w:rsidR="00CB3F9D">
      <w:footerReference w:type="default" r:id="rId7"/>
      <w:pgSz w:w="16838" w:h="11906" w:orient="landscape"/>
      <w:pgMar w:top="1417" w:right="1417" w:bottom="1417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821F" w14:textId="77777777" w:rsidR="00990698" w:rsidRDefault="00990698">
      <w:r>
        <w:separator/>
      </w:r>
    </w:p>
  </w:endnote>
  <w:endnote w:type="continuationSeparator" w:id="0">
    <w:p w14:paraId="2BE203F9" w14:textId="77777777" w:rsidR="00990698" w:rsidRDefault="0099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5B23" w14:textId="77777777" w:rsidR="00CB3F9D" w:rsidRDefault="00DD5F5C">
    <w:pPr>
      <w:pStyle w:val="Stopka1"/>
      <w:ind w:right="360"/>
    </w:pPr>
    <w:r>
      <w:rPr>
        <w:noProof/>
      </w:rPr>
      <mc:AlternateContent>
        <mc:Choice Requires="wps">
          <w:drawing>
            <wp:anchor distT="1510030" distB="0" distL="635" distR="0" simplePos="0" relativeHeight="4" behindDoc="1" locked="0" layoutInCell="0" allowOverlap="1" wp14:anchorId="4F61B610" wp14:editId="72925EB3">
              <wp:simplePos x="0" y="0"/>
              <wp:positionH relativeFrom="page">
                <wp:posOffset>8084820</wp:posOffset>
              </wp:positionH>
              <wp:positionV relativeFrom="paragraph">
                <wp:posOffset>-22081490</wp:posOffset>
              </wp:positionV>
              <wp:extent cx="1691005" cy="22081490"/>
              <wp:effectExtent l="635" t="151003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920" cy="22081320"/>
                      </a:xfrm>
                      <a:custGeom>
                        <a:avLst/>
                        <a:gdLst>
                          <a:gd name="textAreaLeft" fmla="*/ 0 w 958680"/>
                          <a:gd name="textAreaRight" fmla="*/ 961920 w 958680"/>
                          <a:gd name="textAreaTop" fmla="*/ 0 h 12518640"/>
                          <a:gd name="textAreaBottom" fmla="*/ 12521880 h 12518640"/>
                        </a:gdLst>
                        <a:ahLst/>
                        <a:cxnLst/>
                        <a:rect l="textAreaLeft" t="textAreaTop" r="textAreaRight" b="textAreaBottom"/>
                        <a:pathLst>
                          <a:path w="4700" h="61341">
                            <a:moveTo>
                              <a:pt x="0" y="0"/>
                            </a:moveTo>
                            <a:lnTo>
                              <a:pt x="0" y="-4196"/>
                            </a:lnTo>
                            <a:lnTo>
                              <a:pt x="0" y="0"/>
                            </a:lnTo>
                            <a:lnTo>
                              <a:pt x="4699" y="0"/>
                            </a:lnTo>
                            <a:lnTo>
                              <a:pt x="4699" y="-4196"/>
                            </a:lnTo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77C846F5" id="Pole tekstowe 1" o:spid="_x0000_s1026" style="position:absolute;margin-left:636.6pt;margin-top:-1738.7pt;width:133.15pt;height:1738.7pt;z-index:-503316476;visibility:visible;mso-wrap-style:square;mso-wrap-distance-left:.05pt;mso-wrap-distance-top:118.9pt;mso-wrap-distance-right:0;mso-wrap-distance-bottom:0;mso-position-horizontal:absolute;mso-position-horizontal-relative:page;mso-position-vertical:absolute;mso-position-vertical-relative:text;v-text-anchor:top" coordsize="4700,6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" o:allowincell="f" path="m,l,-4196,,,4699,r,-4196e" filled="f" stroked="f" strokeweight="0">
              <v:path arrowok="t" textboxrect="0,0,4716,61357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9F00" w14:textId="77777777" w:rsidR="00990698" w:rsidRDefault="00990698">
      <w:r>
        <w:separator/>
      </w:r>
    </w:p>
  </w:footnote>
  <w:footnote w:type="continuationSeparator" w:id="0">
    <w:p w14:paraId="3EE07576" w14:textId="77777777" w:rsidR="00990698" w:rsidRDefault="00990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67DB8"/>
    <w:multiLevelType w:val="multilevel"/>
    <w:tmpl w:val="A18C1F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000586"/>
    <w:multiLevelType w:val="multilevel"/>
    <w:tmpl w:val="4330F8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FB65096"/>
    <w:multiLevelType w:val="multilevel"/>
    <w:tmpl w:val="7CEA8E5C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  <w:rPr>
        <w:rFonts w:ascii="Times New Roman" w:hAnsi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</w:lvl>
  </w:abstractNum>
  <w:abstractNum w:abstractNumId="3" w15:restartNumberingAfterBreak="0">
    <w:nsid w:val="6D0A6481"/>
    <w:multiLevelType w:val="multilevel"/>
    <w:tmpl w:val="C512D9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6F3818D7"/>
    <w:multiLevelType w:val="multilevel"/>
    <w:tmpl w:val="585AF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num w:numId="1" w16cid:durableId="2010252624">
    <w:abstractNumId w:val="1"/>
  </w:num>
  <w:num w:numId="2" w16cid:durableId="985351827">
    <w:abstractNumId w:val="2"/>
  </w:num>
  <w:num w:numId="3" w16cid:durableId="1508331138">
    <w:abstractNumId w:val="3"/>
  </w:num>
  <w:num w:numId="4" w16cid:durableId="1595161361">
    <w:abstractNumId w:val="4"/>
  </w:num>
  <w:num w:numId="5" w16cid:durableId="35962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9D"/>
    <w:rsid w:val="00990698"/>
    <w:rsid w:val="009F2CC9"/>
    <w:rsid w:val="00CB3F9D"/>
    <w:rsid w:val="00DD5F5C"/>
    <w:rsid w:val="00E2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2A78"/>
  <w15:docId w15:val="{921CBC39-3721-4283-8D50-FCF68DC3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0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semiHidden/>
    <w:qFormat/>
    <w:rsid w:val="009720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41DB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41DB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1DB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1DB5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qFormat/>
    <w:rPr>
      <w:sz w:val="24"/>
    </w:rPr>
  </w:style>
  <w:style w:type="character" w:customStyle="1" w:styleId="Znakinumeracji">
    <w:name w:val="Znaki numeracji"/>
    <w:qFormat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next w:val="Tekstpodstawowy"/>
    <w:qFormat/>
    <w:rsid w:val="00D62E9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62E90"/>
    <w:pPr>
      <w:spacing w:after="140" w:line="276" w:lineRule="auto"/>
    </w:pPr>
  </w:style>
  <w:style w:type="paragraph" w:styleId="Lista">
    <w:name w:val="List"/>
    <w:basedOn w:val="Tekstpodstawowy"/>
    <w:rsid w:val="00D62E90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D62E9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D62E90"/>
  </w:style>
  <w:style w:type="paragraph" w:customStyle="1" w:styleId="Legenda1">
    <w:name w:val="Legenda1"/>
    <w:basedOn w:val="Normalny"/>
    <w:qFormat/>
    <w:rsid w:val="00D62E90"/>
    <w:pPr>
      <w:suppressLineNumbers/>
      <w:spacing w:before="120" w:after="120"/>
    </w:pPr>
    <w:rPr>
      <w:rFonts w:cs="Lucida Sans"/>
      <w:i/>
      <w:iCs/>
    </w:rPr>
  </w:style>
  <w:style w:type="paragraph" w:customStyle="1" w:styleId="Stopka1">
    <w:name w:val="Stopka1"/>
    <w:basedOn w:val="Normalny"/>
    <w:link w:val="StopkaZnak"/>
    <w:semiHidden/>
    <w:qFormat/>
    <w:rsid w:val="009720C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D62E90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41D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1D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1DB5"/>
    <w:rPr>
      <w:rFonts w:ascii="Tahoma" w:hAnsi="Tahoma" w:cs="Tahoma"/>
      <w:sz w:val="16"/>
      <w:szCs w:val="16"/>
    </w:rPr>
  </w:style>
  <w:style w:type="paragraph" w:styleId="Stopka">
    <w:name w:val="footer"/>
    <w:basedOn w:val="Gwkaistopka"/>
  </w:style>
  <w:style w:type="paragraph" w:customStyle="1" w:styleId="Standardowy1">
    <w:name w:val="Standardowy1"/>
    <w:qFormat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</w:r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</w:rPr>
  </w:style>
  <w:style w:type="paragraph" w:customStyle="1" w:styleId="Standardowy2">
    <w:name w:val="Standardowy2"/>
    <w:qFormat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858</Words>
  <Characters>5152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dc:description/>
  <cp:lastModifiedBy>m.skalińska</cp:lastModifiedBy>
  <cp:revision>2</cp:revision>
  <cp:lastPrinted>2023-06-01T09:31:00Z</cp:lastPrinted>
  <dcterms:created xsi:type="dcterms:W3CDTF">2023-06-07T09:00:00Z</dcterms:created>
  <dcterms:modified xsi:type="dcterms:W3CDTF">2023-06-07T09:00:00Z</dcterms:modified>
  <dc:language>pl-PL</dc:language>
</cp:coreProperties>
</file>