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81" w:rsidRDefault="00D93881" w:rsidP="00E70A7F">
      <w:pPr>
        <w:rPr>
          <w:rFonts w:cs="Arial"/>
        </w:rPr>
      </w:pPr>
    </w:p>
    <w:p w:rsidR="00D93881" w:rsidRPr="00D93881" w:rsidRDefault="00D93881" w:rsidP="00D93881">
      <w:pPr>
        <w:jc w:val="center"/>
        <w:rPr>
          <w:rFonts w:cs="Arial"/>
          <w:b/>
        </w:rPr>
      </w:pPr>
      <w:r w:rsidRPr="00D93881">
        <w:rPr>
          <w:rFonts w:cs="Arial"/>
          <w:b/>
        </w:rPr>
        <w:t>Specyfikacja techniczna przedmiotu zamówienia</w:t>
      </w:r>
    </w:p>
    <w:p w:rsidR="00D93881" w:rsidRDefault="00D93881" w:rsidP="00E70A7F">
      <w:pPr>
        <w:rPr>
          <w:rFonts w:cs="Arial"/>
        </w:rPr>
      </w:pPr>
    </w:p>
    <w:p w:rsidR="000C68F2" w:rsidRDefault="00E70A7F" w:rsidP="00D93881">
      <w:pPr>
        <w:jc w:val="both"/>
        <w:rPr>
          <w:rFonts w:cs="Arial"/>
        </w:rPr>
      </w:pPr>
      <w:r>
        <w:rPr>
          <w:rFonts w:cs="Arial"/>
        </w:rPr>
        <w:t xml:space="preserve">Przedmiotem zamówienia jest </w:t>
      </w:r>
      <w:r w:rsidR="004B7038">
        <w:rPr>
          <w:rFonts w:cs="Arial"/>
        </w:rPr>
        <w:t xml:space="preserve">zakup i </w:t>
      </w:r>
      <w:r>
        <w:rPr>
          <w:rFonts w:cs="Arial"/>
        </w:rPr>
        <w:t xml:space="preserve">dostawa </w:t>
      </w:r>
      <w:r w:rsidR="009A58C9">
        <w:rPr>
          <w:rFonts w:cs="Arial"/>
        </w:rPr>
        <w:t xml:space="preserve">28 sztuk </w:t>
      </w:r>
      <w:r>
        <w:rPr>
          <w:rFonts w:cs="Arial"/>
        </w:rPr>
        <w:t xml:space="preserve">urządzeń do neutralizacji patogenów chorobotwórczych (wirusów – w tym SARS-CoV2, grzybów, bakterii, itp.) zwanych w dalszej części urządzeniami </w:t>
      </w:r>
      <w:r w:rsidR="00D93881">
        <w:rPr>
          <w:rFonts w:cs="Arial"/>
        </w:rPr>
        <w:t>wraz z</w:t>
      </w:r>
      <w:r>
        <w:rPr>
          <w:rFonts w:cs="Arial"/>
        </w:rPr>
        <w:t xml:space="preserve"> ich</w:t>
      </w:r>
      <w:r w:rsidR="00D93881">
        <w:rPr>
          <w:rFonts w:cs="Arial"/>
        </w:rPr>
        <w:t xml:space="preserve"> rozmieszczeniem i </w:t>
      </w:r>
      <w:r>
        <w:rPr>
          <w:rFonts w:cs="Arial"/>
        </w:rPr>
        <w:t>montaż</w:t>
      </w:r>
      <w:r w:rsidR="00D93881">
        <w:rPr>
          <w:rFonts w:cs="Arial"/>
        </w:rPr>
        <w:t>em</w:t>
      </w:r>
      <w:r>
        <w:rPr>
          <w:rFonts w:cs="Arial"/>
        </w:rPr>
        <w:t xml:space="preserve"> </w:t>
      </w:r>
      <w:r w:rsidR="00AC08CA">
        <w:rPr>
          <w:rFonts w:cs="Arial"/>
        </w:rPr>
        <w:t xml:space="preserve">w tym podłączeniem do instalacji elektrycznej, </w:t>
      </w:r>
      <w:r>
        <w:rPr>
          <w:rFonts w:cs="Arial"/>
        </w:rPr>
        <w:t xml:space="preserve">w </w:t>
      </w:r>
      <w:r w:rsidR="00AC08CA">
        <w:rPr>
          <w:rFonts w:cs="Arial"/>
        </w:rPr>
        <w:t>28</w:t>
      </w:r>
      <w:r>
        <w:rPr>
          <w:rFonts w:cs="Arial"/>
        </w:rPr>
        <w:t xml:space="preserve"> </w:t>
      </w:r>
      <w:r w:rsidR="000C68F2">
        <w:rPr>
          <w:rFonts w:cs="Arial"/>
        </w:rPr>
        <w:t xml:space="preserve">pojazdach </w:t>
      </w:r>
      <w:r w:rsidR="00AC08CA">
        <w:rPr>
          <w:rFonts w:cs="Arial"/>
        </w:rPr>
        <w:t>wykorzystywa</w:t>
      </w:r>
      <w:r w:rsidR="00BC5DD9">
        <w:rPr>
          <w:rFonts w:cs="Arial"/>
        </w:rPr>
        <w:t>nych do przewozu dzieci</w:t>
      </w:r>
      <w:r w:rsidR="00535474">
        <w:rPr>
          <w:rFonts w:cs="Arial"/>
        </w:rPr>
        <w:t xml:space="preserve"> do szkół</w:t>
      </w:r>
      <w:r>
        <w:rPr>
          <w:rFonts w:cs="Arial"/>
        </w:rPr>
        <w:t xml:space="preserve">. </w:t>
      </w:r>
    </w:p>
    <w:p w:rsidR="00E70A7F" w:rsidRDefault="00E70A7F" w:rsidP="00D93881">
      <w:pPr>
        <w:jc w:val="both"/>
        <w:rPr>
          <w:rFonts w:cs="Arial"/>
        </w:rPr>
      </w:pPr>
      <w:r>
        <w:rPr>
          <w:rFonts w:cs="Arial"/>
        </w:rPr>
        <w:t xml:space="preserve">Zestawienie pojazdów stanowi załącznik nr 1 do </w:t>
      </w:r>
      <w:r w:rsidR="00CE1F0F">
        <w:rPr>
          <w:rFonts w:cs="Arial"/>
        </w:rPr>
        <w:t>umowy</w:t>
      </w:r>
      <w:r w:rsidR="00D93881">
        <w:rPr>
          <w:rFonts w:cs="Arial"/>
        </w:rPr>
        <w:t>- Wykaz pojazdów</w:t>
      </w:r>
      <w:r>
        <w:rPr>
          <w:rFonts w:cs="Arial"/>
        </w:rPr>
        <w:t xml:space="preserve">. </w:t>
      </w:r>
    </w:p>
    <w:p w:rsidR="00E70A7F" w:rsidRDefault="00E70A7F" w:rsidP="001336E5">
      <w:pPr>
        <w:jc w:val="both"/>
        <w:rPr>
          <w:rFonts w:cs="Arial"/>
        </w:rPr>
      </w:pPr>
      <w:r>
        <w:rPr>
          <w:rFonts w:cs="Arial"/>
        </w:rPr>
        <w:t xml:space="preserve">Wykonawca odpowiada za ewentualne szkody/usterki, powstałe w pojazdach </w:t>
      </w:r>
      <w:r w:rsidR="001336E5">
        <w:rPr>
          <w:rFonts w:cs="Arial"/>
        </w:rPr>
        <w:t>w wyniku niewłaściwego zamontowania</w:t>
      </w:r>
      <w:r>
        <w:rPr>
          <w:rFonts w:cs="Arial"/>
        </w:rPr>
        <w:t xml:space="preserve"> w nich urządzeń.</w:t>
      </w:r>
    </w:p>
    <w:p w:rsidR="008F31BF" w:rsidRPr="00F5010A" w:rsidRDefault="008F31BF">
      <w:pPr>
        <w:rPr>
          <w:rFonts w:cs="Aria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419"/>
        <w:gridCol w:w="8045"/>
      </w:tblGrid>
      <w:tr w:rsidR="007C5055" w:rsidRPr="00F5010A" w:rsidTr="00715226">
        <w:tc>
          <w:tcPr>
            <w:tcW w:w="1419" w:type="dxa"/>
          </w:tcPr>
          <w:p w:rsidR="007C5055" w:rsidRPr="00F5010A" w:rsidRDefault="007C5055" w:rsidP="00A255EB">
            <w:pPr>
              <w:rPr>
                <w:rFonts w:cs="Arial"/>
              </w:rPr>
            </w:pPr>
            <w:r w:rsidRPr="00F5010A">
              <w:rPr>
                <w:rFonts w:cs="Arial"/>
              </w:rPr>
              <w:t>Lp.</w:t>
            </w:r>
          </w:p>
        </w:tc>
        <w:tc>
          <w:tcPr>
            <w:tcW w:w="8045" w:type="dxa"/>
          </w:tcPr>
          <w:p w:rsidR="007C5055" w:rsidRPr="007C5055" w:rsidRDefault="007C5055" w:rsidP="00A255EB">
            <w:pPr>
              <w:rPr>
                <w:rFonts w:cs="Arial"/>
                <w:b/>
              </w:rPr>
            </w:pPr>
            <w:r w:rsidRPr="007C5055">
              <w:rPr>
                <w:rFonts w:cs="Arial"/>
                <w:b/>
              </w:rPr>
              <w:t>Opis</w:t>
            </w:r>
          </w:p>
        </w:tc>
      </w:tr>
      <w:tr w:rsidR="008F31BF" w:rsidRPr="00F5010A" w:rsidTr="00B42FBF">
        <w:tc>
          <w:tcPr>
            <w:tcW w:w="1419" w:type="dxa"/>
          </w:tcPr>
          <w:p w:rsidR="008F31BF" w:rsidRPr="00F5010A" w:rsidRDefault="007C5055" w:rsidP="00A255E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8F31BF" w:rsidRPr="00F5010A">
              <w:rPr>
                <w:rFonts w:cs="Arial"/>
              </w:rPr>
              <w:t>1</w:t>
            </w:r>
          </w:p>
        </w:tc>
        <w:tc>
          <w:tcPr>
            <w:tcW w:w="8045" w:type="dxa"/>
          </w:tcPr>
          <w:p w:rsidR="008F31BF" w:rsidRPr="00E837E1" w:rsidRDefault="008F31BF" w:rsidP="007C5055">
            <w:pPr>
              <w:rPr>
                <w:rFonts w:cs="Arial"/>
                <w:b/>
              </w:rPr>
            </w:pPr>
            <w:r w:rsidRPr="00E837E1">
              <w:rPr>
                <w:rFonts w:cs="Arial"/>
                <w:b/>
              </w:rPr>
              <w:t xml:space="preserve">Wymagania </w:t>
            </w:r>
            <w:r w:rsidR="007C5055">
              <w:rPr>
                <w:rFonts w:cs="Arial"/>
                <w:b/>
              </w:rPr>
              <w:t>ogólne</w:t>
            </w:r>
          </w:p>
        </w:tc>
      </w:tr>
      <w:tr w:rsidR="00842EEC" w:rsidRPr="00F5010A" w:rsidTr="00B42FBF">
        <w:tc>
          <w:tcPr>
            <w:tcW w:w="1419" w:type="dxa"/>
          </w:tcPr>
          <w:p w:rsidR="00842EEC" w:rsidRPr="00B42FBF" w:rsidRDefault="00842EEC" w:rsidP="00B42FBF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842EEC" w:rsidRPr="002E07DC" w:rsidRDefault="007C5055" w:rsidP="00B131DC">
            <w:pPr>
              <w:jc w:val="both"/>
              <w:rPr>
                <w:rFonts w:cs="Arial"/>
                <w:shd w:val="clear" w:color="auto" w:fill="FFFFFF"/>
              </w:rPr>
            </w:pPr>
            <w:r w:rsidRPr="002E07DC">
              <w:rPr>
                <w:rFonts w:cs="Arial"/>
              </w:rPr>
              <w:t>Każde u</w:t>
            </w:r>
            <w:r w:rsidR="00842EEC" w:rsidRPr="002E07DC">
              <w:rPr>
                <w:rFonts w:cs="Arial"/>
              </w:rPr>
              <w:t xml:space="preserve">rządzenie musi być oznakowane certyfikatem CE </w:t>
            </w:r>
            <w:r w:rsidR="00842EEC" w:rsidRPr="002E07DC">
              <w:rPr>
                <w:rFonts w:cs="Arial"/>
                <w:shd w:val="clear" w:color="auto" w:fill="FFFFFF"/>
              </w:rPr>
              <w:t xml:space="preserve">  w celu potwierdzenia spełnienia europejskich wymagań </w:t>
            </w:r>
            <w:r w:rsidR="00D14EF8" w:rsidRPr="002E07DC">
              <w:rPr>
                <w:rFonts w:cs="Arial"/>
                <w:shd w:val="clear" w:color="auto" w:fill="FFFFFF"/>
              </w:rPr>
              <w:t>dotyczących</w:t>
            </w:r>
            <w:r w:rsidR="00842EEC" w:rsidRPr="002E07DC">
              <w:rPr>
                <w:rFonts w:cs="Arial"/>
                <w:shd w:val="clear" w:color="auto" w:fill="FFFFFF"/>
              </w:rPr>
              <w:t xml:space="preserve"> </w:t>
            </w:r>
            <w:r w:rsidR="00D14EF8" w:rsidRPr="002E07DC">
              <w:rPr>
                <w:rFonts w:cs="Arial"/>
                <w:shd w:val="clear" w:color="auto" w:fill="FFFFFF"/>
              </w:rPr>
              <w:t>dopuszczenia</w:t>
            </w:r>
            <w:r w:rsidR="00842EEC" w:rsidRPr="002E07DC">
              <w:rPr>
                <w:rFonts w:cs="Arial"/>
                <w:shd w:val="clear" w:color="auto" w:fill="FFFFFF"/>
              </w:rPr>
              <w:t xml:space="preserve"> urządzenia do obrotu na terytorium Unii Europejskiej</w:t>
            </w:r>
            <w:r w:rsidR="00DC4B58">
              <w:rPr>
                <w:rFonts w:cs="Arial"/>
                <w:shd w:val="clear" w:color="auto" w:fill="FFFFFF"/>
              </w:rPr>
              <w:t>.</w:t>
            </w:r>
          </w:p>
          <w:p w:rsidR="002E07DC" w:rsidRPr="00A9104E" w:rsidRDefault="002E07DC" w:rsidP="002E07DC">
            <w:pPr>
              <w:jc w:val="both"/>
              <w:rPr>
                <w:rFonts w:cs="Arial"/>
                <w:color w:val="FF0000"/>
              </w:rPr>
            </w:pPr>
            <w:r w:rsidRPr="002E07DC">
              <w:rPr>
                <w:rFonts w:cs="Arial"/>
                <w:sz w:val="21"/>
                <w:szCs w:val="21"/>
                <w:shd w:val="clear" w:color="auto" w:fill="FFFFFF"/>
              </w:rPr>
              <w:t xml:space="preserve">Wykonawca zobowiązany jest załączyć do oferty deklarację zgodności, </w:t>
            </w:r>
            <w:proofErr w:type="spellStart"/>
            <w:r w:rsidRPr="002E07DC">
              <w:rPr>
                <w:rFonts w:cs="Arial"/>
                <w:sz w:val="21"/>
                <w:szCs w:val="21"/>
                <w:shd w:val="clear" w:color="auto" w:fill="FFFFFF"/>
              </w:rPr>
              <w:t>tj</w:t>
            </w:r>
            <w:proofErr w:type="spellEnd"/>
            <w:r w:rsidRPr="002E07DC">
              <w:rPr>
                <w:rFonts w:cs="Arial"/>
                <w:sz w:val="21"/>
                <w:szCs w:val="21"/>
                <w:shd w:val="clear" w:color="auto" w:fill="FFFFFF"/>
              </w:rPr>
              <w:t xml:space="preserve"> dokument wystawiany przez producenta wyrobu albo jego upoważnionego przedstawiciela, stanowiący wiążące prawnie przyrzeczenie stwierdzające zgodność wyrobu z wymaganiami zasadniczymi właściwych dyrektyw Unii</w:t>
            </w:r>
          </w:p>
        </w:tc>
      </w:tr>
      <w:tr w:rsidR="00AC08CA" w:rsidRPr="00F5010A" w:rsidTr="00B42FBF">
        <w:tc>
          <w:tcPr>
            <w:tcW w:w="1419" w:type="dxa"/>
          </w:tcPr>
          <w:p w:rsidR="00AC08CA" w:rsidRPr="00B42FBF" w:rsidRDefault="00AC08CA" w:rsidP="00B42FBF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AC08CA" w:rsidRPr="00F105D3" w:rsidRDefault="00AC08CA" w:rsidP="00D11314">
            <w:pPr>
              <w:rPr>
                <w:rFonts w:cs="Arial"/>
              </w:rPr>
            </w:pPr>
            <w:r w:rsidRPr="00F105D3">
              <w:rPr>
                <w:rFonts w:cs="Arial"/>
              </w:rPr>
              <w:t>Każde urządzenie musi posiadać a</w:t>
            </w:r>
            <w:r w:rsidRPr="00F105D3">
              <w:t>test wydany przez Narodowy Instytut Zdrowia Publicznego (PZH) dla urządzenia kompletnego, w którym będzie potwierdzone bezpieczeństwo jego stosowania w obecności pasażerów, który Wykonawca zobowiązany jest załączyć do oferty.</w:t>
            </w:r>
          </w:p>
        </w:tc>
      </w:tr>
      <w:tr w:rsidR="00842EEC" w:rsidRPr="00F5010A" w:rsidTr="00B42FBF">
        <w:tc>
          <w:tcPr>
            <w:tcW w:w="1419" w:type="dxa"/>
          </w:tcPr>
          <w:p w:rsidR="00842EEC" w:rsidRPr="00B42FBF" w:rsidRDefault="00842EEC" w:rsidP="00B42FBF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B42FBF">
              <w:rPr>
                <w:rFonts w:cs="Arial"/>
              </w:rPr>
              <w:t>:</w:t>
            </w:r>
          </w:p>
        </w:tc>
        <w:tc>
          <w:tcPr>
            <w:tcW w:w="8045" w:type="dxa"/>
          </w:tcPr>
          <w:p w:rsidR="00842EEC" w:rsidRPr="00F105D3" w:rsidRDefault="00842EEC">
            <w:pPr>
              <w:rPr>
                <w:rFonts w:cs="Arial"/>
                <w:color w:val="FF0000"/>
              </w:rPr>
            </w:pPr>
            <w:r w:rsidRPr="00F105D3">
              <w:rPr>
                <w:rFonts w:cs="Arial"/>
              </w:rPr>
              <w:t xml:space="preserve">Urządzenie musi spełniać wszystkie przepisy prawa, warunkujące dopuszczenie przedmiotu umowy na użytkowania na terenie Rzeczpospolitej Polskiej w warunkach opisanych w niniejszej specyfikacji. </w:t>
            </w:r>
          </w:p>
        </w:tc>
      </w:tr>
    </w:tbl>
    <w:p w:rsidR="00E70A7F" w:rsidRDefault="00E70A7F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419"/>
        <w:gridCol w:w="8045"/>
      </w:tblGrid>
      <w:tr w:rsidR="008F31BF" w:rsidRPr="00F5010A" w:rsidTr="00B42FBF">
        <w:tc>
          <w:tcPr>
            <w:tcW w:w="1419" w:type="dxa"/>
          </w:tcPr>
          <w:p w:rsidR="008F31BF" w:rsidRPr="00F5010A" w:rsidRDefault="007C5055" w:rsidP="00A255E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B42FBF">
              <w:rPr>
                <w:rFonts w:cs="Arial"/>
              </w:rPr>
              <w:t>2</w:t>
            </w:r>
          </w:p>
        </w:tc>
        <w:tc>
          <w:tcPr>
            <w:tcW w:w="8045" w:type="dxa"/>
          </w:tcPr>
          <w:p w:rsidR="008F31BF" w:rsidRPr="00E837E1" w:rsidRDefault="007C5055" w:rsidP="00A255E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wymagań  technicznych</w:t>
            </w:r>
          </w:p>
        </w:tc>
      </w:tr>
      <w:tr w:rsidR="008F31BF" w:rsidRPr="00F5010A" w:rsidTr="00B42FBF">
        <w:tc>
          <w:tcPr>
            <w:tcW w:w="1419" w:type="dxa"/>
          </w:tcPr>
          <w:p w:rsidR="008F31BF" w:rsidRPr="00B42FBF" w:rsidRDefault="008F31BF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8F31BF" w:rsidRPr="00F5010A" w:rsidRDefault="003A7DBE" w:rsidP="002E07DC">
            <w:pPr>
              <w:pStyle w:val="Lista2"/>
              <w:numPr>
                <w:ilvl w:val="0"/>
                <w:numId w:val="0"/>
              </w:numPr>
            </w:pPr>
            <w:r>
              <w:rPr>
                <w:szCs w:val="22"/>
              </w:rPr>
              <w:t xml:space="preserve">Urządzenie musi być przystosowane do pracy w rzeczywistych warunkach eksploatacyjnych, występujących w </w:t>
            </w:r>
            <w:r w:rsidR="00F105D3">
              <w:rPr>
                <w:szCs w:val="22"/>
              </w:rPr>
              <w:t>pojazdach transportu zbiorowego</w:t>
            </w:r>
            <w:r>
              <w:rPr>
                <w:szCs w:val="22"/>
              </w:rPr>
              <w:t>, a w szczególności do pracy w zakresie temperatur od -25</w:t>
            </w:r>
            <w:r>
              <w:rPr>
                <w:szCs w:val="22"/>
                <w:vertAlign w:val="superscript"/>
              </w:rPr>
              <w:t>0</w:t>
            </w:r>
            <w:r>
              <w:rPr>
                <w:szCs w:val="22"/>
              </w:rPr>
              <w:t xml:space="preserve">C  do </w:t>
            </w:r>
            <w:r w:rsidR="00B30A36">
              <w:rPr>
                <w:szCs w:val="22"/>
              </w:rPr>
              <w:t xml:space="preserve">+ </w:t>
            </w:r>
            <w:r>
              <w:rPr>
                <w:szCs w:val="22"/>
              </w:rPr>
              <w:t>45</w:t>
            </w:r>
            <w:r>
              <w:rPr>
                <w:szCs w:val="22"/>
                <w:vertAlign w:val="superscript"/>
              </w:rPr>
              <w:t>0</w:t>
            </w:r>
            <w:r>
              <w:rPr>
                <w:szCs w:val="22"/>
              </w:rPr>
              <w:t xml:space="preserve">C. Musi być odporne na warunki atmosferyczne występujące w Polsce, drgania pojazdu, </w:t>
            </w:r>
            <w:r w:rsidRPr="00B30A36">
              <w:rPr>
                <w:szCs w:val="22"/>
              </w:rPr>
              <w:t xml:space="preserve">inne niewymienione czynniki, występujące podczas użytkowania pojazdu. </w:t>
            </w:r>
          </w:p>
        </w:tc>
      </w:tr>
      <w:tr w:rsidR="008F31BF" w:rsidRPr="00F5010A" w:rsidTr="00B42FBF">
        <w:tc>
          <w:tcPr>
            <w:tcW w:w="1419" w:type="dxa"/>
          </w:tcPr>
          <w:p w:rsidR="008F31BF" w:rsidRPr="00B42FBF" w:rsidRDefault="008F31BF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7DBE" w:rsidRDefault="003A7DBE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Wymagane jest urządzenie, w którym elementem biobójczym będą promienniki UV-C:</w:t>
            </w:r>
          </w:p>
          <w:p w:rsidR="003A7DBE" w:rsidRDefault="003A7DBE" w:rsidP="00A9104E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 osłoną wykonaną ze specjalnego szkła zabezpieczającego przed powstawaniem ozonu podczas promieniowania np. specjalnego szkła TUV, eliminującego powstawanie ozonu </w:t>
            </w:r>
          </w:p>
          <w:p w:rsidR="0057059F" w:rsidRDefault="0057059F" w:rsidP="00A9104E">
            <w:pPr>
              <w:pStyle w:val="Akapitzlist"/>
              <w:ind w:left="780"/>
              <w:jc w:val="both"/>
              <w:rPr>
                <w:rFonts w:cs="Arial"/>
              </w:rPr>
            </w:pPr>
            <w:r>
              <w:rPr>
                <w:rFonts w:cs="Arial"/>
              </w:rPr>
              <w:t>lub</w:t>
            </w:r>
          </w:p>
          <w:p w:rsidR="003A7DBE" w:rsidRDefault="003A7DBE" w:rsidP="00A9104E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diodowe nie powodujące powstawania ozonu podczas ich pracy.</w:t>
            </w:r>
          </w:p>
          <w:p w:rsidR="003A7DBE" w:rsidRDefault="003A7DBE" w:rsidP="00A9104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Długość fal emitowanych przez promienniki UV-C musi być ≥ 250 </w:t>
            </w:r>
            <w:proofErr w:type="spellStart"/>
            <w:r>
              <w:rPr>
                <w:rFonts w:cs="Arial"/>
                <w:b/>
              </w:rPr>
              <w:t>nm</w:t>
            </w:r>
            <w:proofErr w:type="spellEnd"/>
            <w:r>
              <w:rPr>
                <w:rFonts w:cs="Arial"/>
                <w:b/>
              </w:rPr>
              <w:t xml:space="preserve">, zalecana jest długość fal promieniowania równa 254 nm. Podczas ich pracy nie może powstawać ozon. </w:t>
            </w:r>
          </w:p>
          <w:p w:rsidR="00A912EB" w:rsidRPr="008845E5" w:rsidRDefault="003A7DBE" w:rsidP="00B30A36">
            <w:pPr>
              <w:jc w:val="both"/>
              <w:rPr>
                <w:rFonts w:cs="Arial"/>
              </w:rPr>
            </w:pPr>
            <w:r w:rsidRPr="008845E5">
              <w:rPr>
                <w:rFonts w:cs="Arial"/>
              </w:rPr>
              <w:lastRenderedPageBreak/>
              <w:t xml:space="preserve">Zamawiający podczas prac odbiorowych podda weryfikacji czy urządzenie podczas pracy nie będzie wytwarzać ozonu, za pomocą miernika </w:t>
            </w:r>
            <w:r w:rsidR="00B0522A" w:rsidRPr="008845E5">
              <w:rPr>
                <w:rFonts w:cs="Arial"/>
              </w:rPr>
              <w:t xml:space="preserve">do pomiaru obecności </w:t>
            </w:r>
            <w:r w:rsidR="002D3857" w:rsidRPr="008845E5">
              <w:rPr>
                <w:rFonts w:cs="Arial"/>
              </w:rPr>
              <w:t>ozo</w:t>
            </w:r>
            <w:r w:rsidR="00E76A87">
              <w:rPr>
                <w:rFonts w:cs="Arial"/>
              </w:rPr>
              <w:t>nu,</w:t>
            </w:r>
            <w:r w:rsidRPr="008845E5">
              <w:rPr>
                <w:rFonts w:cs="Arial"/>
              </w:rPr>
              <w:t xml:space="preserve"> który Wykonawca zobowiązany jest dostarczyć Zamawiającemu przed przystąpieniem do odbioru urządzeń.</w:t>
            </w:r>
          </w:p>
          <w:p w:rsidR="00CC258D" w:rsidRPr="00F5010A" w:rsidRDefault="00F1015E" w:rsidP="00DC4B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Oferowane urządzeni</w:t>
            </w:r>
            <w:r w:rsidR="00F105D3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mus</w:t>
            </w:r>
            <w:r w:rsidR="00F105D3">
              <w:rPr>
                <w:rFonts w:cs="Arial"/>
              </w:rPr>
              <w:t>i</w:t>
            </w:r>
            <w:r>
              <w:rPr>
                <w:rFonts w:cs="Arial"/>
              </w:rPr>
              <w:t xml:space="preserve"> wykazywać </w:t>
            </w:r>
            <w:r w:rsidR="00881F08">
              <w:rPr>
                <w:rFonts w:cs="Arial"/>
              </w:rPr>
              <w:t>s</w:t>
            </w:r>
            <w:r w:rsidR="00CC258D">
              <w:rPr>
                <w:rFonts w:cs="Arial"/>
              </w:rPr>
              <w:t xml:space="preserve">kuteczność działania biobójczego w zakresie eliminowania co najmniej </w:t>
            </w:r>
            <w:r>
              <w:rPr>
                <w:rFonts w:cs="Arial"/>
              </w:rPr>
              <w:t xml:space="preserve">powszechnych </w:t>
            </w:r>
            <w:r w:rsidR="00CC258D">
              <w:rPr>
                <w:rFonts w:cs="Arial"/>
              </w:rPr>
              <w:t>drobnoustrojów</w:t>
            </w:r>
            <w:r>
              <w:rPr>
                <w:rFonts w:cs="Arial"/>
              </w:rPr>
              <w:t xml:space="preserve"> np.</w:t>
            </w:r>
            <w:r w:rsidR="00881F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bakteri</w:t>
            </w:r>
            <w:r w:rsidR="00F105D3">
              <w:rPr>
                <w:rFonts w:cs="Arial"/>
              </w:rPr>
              <w:t>i</w:t>
            </w:r>
            <w:r>
              <w:rPr>
                <w:rFonts w:cs="Arial"/>
              </w:rPr>
              <w:t xml:space="preserve"> i grzyb</w:t>
            </w:r>
            <w:r w:rsidR="00F105D3">
              <w:rPr>
                <w:rFonts w:cs="Arial"/>
              </w:rPr>
              <w:t>ów</w:t>
            </w:r>
            <w:r w:rsidR="00881F08">
              <w:rPr>
                <w:rFonts w:cs="Arial"/>
              </w:rPr>
              <w:t>.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5348A5" w:rsidRDefault="00574BD4" w:rsidP="00A910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Urządzenie musi </w:t>
            </w:r>
            <w:r w:rsidR="00F105D3">
              <w:rPr>
                <w:rFonts w:cs="Arial"/>
              </w:rPr>
              <w:t>stanowić k</w:t>
            </w:r>
            <w:r>
              <w:rPr>
                <w:rFonts w:cs="Arial"/>
              </w:rPr>
              <w:t>ompletn</w:t>
            </w:r>
            <w:r w:rsidR="00F105D3">
              <w:rPr>
                <w:rFonts w:cs="Arial"/>
              </w:rPr>
              <w:t>ą</w:t>
            </w:r>
            <w:r>
              <w:rPr>
                <w:rFonts w:cs="Arial"/>
              </w:rPr>
              <w:t xml:space="preserve"> jednostk</w:t>
            </w:r>
            <w:r w:rsidR="00F105D3">
              <w:rPr>
                <w:rFonts w:cs="Arial"/>
              </w:rPr>
              <w:t>ę</w:t>
            </w:r>
            <w:r>
              <w:rPr>
                <w:rFonts w:cs="Arial"/>
              </w:rPr>
              <w:t xml:space="preserve"> przygotowan</w:t>
            </w:r>
            <w:r w:rsidR="00F105D3">
              <w:rPr>
                <w:rFonts w:cs="Arial"/>
              </w:rPr>
              <w:t>ą</w:t>
            </w:r>
            <w:r>
              <w:rPr>
                <w:rFonts w:cs="Arial"/>
              </w:rPr>
              <w:t xml:space="preserve"> </w:t>
            </w:r>
            <w:r w:rsidR="00842EEC">
              <w:rPr>
                <w:rFonts w:cs="Arial"/>
              </w:rPr>
              <w:t>do</w:t>
            </w:r>
            <w:r>
              <w:rPr>
                <w:rFonts w:cs="Arial"/>
              </w:rPr>
              <w:t xml:space="preserve"> montażu </w:t>
            </w:r>
            <w:r w:rsidR="00A10009">
              <w:rPr>
                <w:rFonts w:cs="Arial"/>
              </w:rPr>
              <w:t xml:space="preserve">w pojazdach wymienionych w załączniku nr 1 do niniejszej specyfikacji technicznej, </w:t>
            </w:r>
            <w:r w:rsidRPr="00C46B52">
              <w:rPr>
                <w:rFonts w:cs="Arial"/>
                <w:b/>
              </w:rPr>
              <w:t xml:space="preserve">w miejscach </w:t>
            </w:r>
            <w:r w:rsidR="003A7DBE" w:rsidRPr="00C46B52">
              <w:rPr>
                <w:rFonts w:cs="Arial"/>
                <w:b/>
              </w:rPr>
              <w:t>uzgodnionych z</w:t>
            </w:r>
            <w:r w:rsidRPr="00C46B52">
              <w:rPr>
                <w:rFonts w:cs="Arial"/>
                <w:b/>
              </w:rPr>
              <w:t xml:space="preserve"> Zamawiając</w:t>
            </w:r>
            <w:r w:rsidR="003A7DBE" w:rsidRPr="00C46B52">
              <w:rPr>
                <w:rFonts w:cs="Arial"/>
                <w:b/>
              </w:rPr>
              <w:t>ym</w:t>
            </w:r>
            <w:r>
              <w:rPr>
                <w:rFonts w:cs="Arial"/>
              </w:rPr>
              <w:t>, składając</w:t>
            </w:r>
            <w:r w:rsidR="00A10009">
              <w:rPr>
                <w:rFonts w:cs="Arial"/>
              </w:rPr>
              <w:t>ą</w:t>
            </w:r>
            <w:r>
              <w:rPr>
                <w:rFonts w:cs="Arial"/>
              </w:rPr>
              <w:t xml:space="preserve"> się co najmniej z: promiennika/promienników UV-C, </w:t>
            </w:r>
            <w:r w:rsidR="00FB4AC5">
              <w:t>opraw przepływowych wyposażonych w niezależny wentylator</w:t>
            </w:r>
            <w:r w:rsidR="00F105D3">
              <w:rPr>
                <w:rFonts w:cs="Arial"/>
              </w:rPr>
              <w:t>/wentylator</w:t>
            </w:r>
            <w:r w:rsidR="00FB4AC5">
              <w:rPr>
                <w:rFonts w:cs="Arial"/>
              </w:rPr>
              <w:t>y</w:t>
            </w:r>
            <w:r w:rsidR="00717F7C">
              <w:rPr>
                <w:rFonts w:cs="Arial"/>
              </w:rPr>
              <w:t>,</w:t>
            </w:r>
            <w:r w:rsidR="00A10009">
              <w:rPr>
                <w:rFonts w:cs="Arial"/>
              </w:rPr>
              <w:t xml:space="preserve"> wymuszających przepływ powietrza przez </w:t>
            </w:r>
            <w:r w:rsidR="00FB4AC5">
              <w:rPr>
                <w:rFonts w:cs="Arial"/>
              </w:rPr>
              <w:t>nie</w:t>
            </w:r>
            <w:r w:rsidR="00A10009">
              <w:rPr>
                <w:rFonts w:cs="Arial"/>
              </w:rPr>
              <w:t xml:space="preserve">, zasilacza, licznika czasu pracy, instalacji </w:t>
            </w:r>
            <w:r>
              <w:rPr>
                <w:rFonts w:cs="Arial"/>
              </w:rPr>
              <w:t>elektrycznej</w:t>
            </w:r>
            <w:r w:rsidR="00A10009">
              <w:rPr>
                <w:rFonts w:cs="Arial"/>
              </w:rPr>
              <w:t xml:space="preserve"> umożliwiającej podłączeni</w:t>
            </w:r>
            <w:r w:rsidR="002E07DC">
              <w:rPr>
                <w:rFonts w:cs="Arial"/>
              </w:rPr>
              <w:t>e</w:t>
            </w:r>
            <w:r w:rsidR="00A10009">
              <w:rPr>
                <w:rFonts w:cs="Arial"/>
              </w:rPr>
              <w:t xml:space="preserve"> urządzenia do instalacji elektrycznej w pojazdach. </w:t>
            </w:r>
          </w:p>
          <w:p w:rsidR="00C46B52" w:rsidRPr="00F5010A" w:rsidRDefault="00A10009" w:rsidP="00C46B5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Wszystkie urządzenia muszą być identyczne. Mogą różnić </w:t>
            </w:r>
            <w:r w:rsidR="00D11314">
              <w:rPr>
                <w:rFonts w:cs="Arial"/>
              </w:rPr>
              <w:t xml:space="preserve">się </w:t>
            </w:r>
            <w:r>
              <w:rPr>
                <w:rFonts w:cs="Arial"/>
              </w:rPr>
              <w:t xml:space="preserve">pomiędzy sobą elementami </w:t>
            </w:r>
            <w:r w:rsidR="00C46B52">
              <w:rPr>
                <w:rFonts w:cs="Arial"/>
              </w:rPr>
              <w:t xml:space="preserve">niezbędnymi do </w:t>
            </w:r>
            <w:r>
              <w:rPr>
                <w:rFonts w:cs="Arial"/>
              </w:rPr>
              <w:t xml:space="preserve">zabudowy </w:t>
            </w:r>
            <w:r w:rsidR="000A61D5">
              <w:rPr>
                <w:rFonts w:cs="Arial"/>
              </w:rPr>
              <w:t xml:space="preserve">oraz podłączenia do instalacji elektrycznej w </w:t>
            </w:r>
            <w:r w:rsidR="00C46B52">
              <w:rPr>
                <w:rFonts w:cs="Arial"/>
              </w:rPr>
              <w:t>poszczególnych pojazdach, różniących się pomiędzy sobą sposobem i miejscem montażu</w:t>
            </w:r>
            <w:r w:rsidR="00121CFA">
              <w:rPr>
                <w:rFonts w:cs="Arial"/>
              </w:rPr>
              <w:t>, ze względu na markę i model pojazdu oraz ilość miejsc</w:t>
            </w:r>
            <w:r w:rsidR="00C46B52">
              <w:rPr>
                <w:rFonts w:cs="Arial"/>
              </w:rPr>
              <w:t xml:space="preserve">. </w:t>
            </w:r>
          </w:p>
          <w:p w:rsidR="0072338D" w:rsidRPr="00F5010A" w:rsidRDefault="0072338D" w:rsidP="00A9104E">
            <w:pPr>
              <w:jc w:val="both"/>
              <w:rPr>
                <w:rFonts w:cs="Arial"/>
              </w:rPr>
            </w:pP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1B6389" w:rsidRDefault="00034754" w:rsidP="00034754">
            <w:pPr>
              <w:jc w:val="both"/>
              <w:rPr>
                <w:rFonts w:cs="Arial"/>
                <w:shd w:val="clear" w:color="auto" w:fill="FFFFFF"/>
              </w:rPr>
            </w:pPr>
            <w:r w:rsidRPr="00034754">
              <w:rPr>
                <w:rFonts w:cs="Arial"/>
              </w:rPr>
              <w:t>Oddziaływanie biobójcze urządzenia musi być realizowane poprzez  wykorzystanie d</w:t>
            </w:r>
            <w:r w:rsidRPr="00034754">
              <w:rPr>
                <w:rFonts w:cs="Arial"/>
                <w:shd w:val="clear" w:color="auto" w:fill="FFFFFF"/>
              </w:rPr>
              <w:t>ezynfekcji przepływowej, która polega na naświetlaniu promieniami UV-C powietrza przepływającego przez wnętrze lampy. Dzięki stymulowanej cyrkulacji</w:t>
            </w:r>
            <w:r>
              <w:rPr>
                <w:rFonts w:cs="Arial"/>
                <w:shd w:val="clear" w:color="auto" w:fill="FFFFFF"/>
              </w:rPr>
              <w:t>,</w:t>
            </w:r>
            <w:r w:rsidRPr="00034754">
              <w:rPr>
                <w:rFonts w:cs="Arial"/>
                <w:shd w:val="clear" w:color="auto" w:fill="FFFFFF"/>
              </w:rPr>
              <w:t xml:space="preserve"> powietrze </w:t>
            </w:r>
            <w:r>
              <w:rPr>
                <w:rFonts w:cs="Arial"/>
                <w:shd w:val="clear" w:color="auto" w:fill="FFFFFF"/>
              </w:rPr>
              <w:t xml:space="preserve">pobrane z </w:t>
            </w:r>
            <w:r w:rsidR="002E07DC">
              <w:rPr>
                <w:rFonts w:cs="Arial"/>
                <w:shd w:val="clear" w:color="auto" w:fill="FFFFFF"/>
              </w:rPr>
              <w:t>wnętrza pojazdu</w:t>
            </w:r>
            <w:r w:rsidR="00C75BF0">
              <w:rPr>
                <w:rFonts w:cs="Arial"/>
                <w:shd w:val="clear" w:color="auto" w:fill="FFFFFF"/>
              </w:rPr>
              <w:t xml:space="preserve">, </w:t>
            </w:r>
            <w:r w:rsidRPr="00034754">
              <w:rPr>
                <w:rFonts w:cs="Arial"/>
                <w:shd w:val="clear" w:color="auto" w:fill="FFFFFF"/>
              </w:rPr>
              <w:t xml:space="preserve">przechodząc przez komorę dezynfekcyjną zostaje naświetlone i oczyszczone, a następnie wyparte do pomieszczenia. Promienie UV-C nie </w:t>
            </w:r>
            <w:r w:rsidR="006C5B1D">
              <w:rPr>
                <w:rFonts w:cs="Arial"/>
                <w:shd w:val="clear" w:color="auto" w:fill="FFFFFF"/>
              </w:rPr>
              <w:t>mogą wydostawać się na zewnątrz</w:t>
            </w:r>
            <w:r w:rsidRPr="00034754">
              <w:rPr>
                <w:rFonts w:cs="Arial"/>
                <w:shd w:val="clear" w:color="auto" w:fill="FFFFFF"/>
              </w:rPr>
              <w:t xml:space="preserve">. </w:t>
            </w:r>
          </w:p>
          <w:p w:rsidR="00DC4B58" w:rsidRPr="002D3857" w:rsidRDefault="00DC4B58" w:rsidP="00034754">
            <w:pPr>
              <w:jc w:val="both"/>
              <w:rPr>
                <w:rFonts w:cs="Arial"/>
                <w:b/>
              </w:rPr>
            </w:pPr>
            <w:r w:rsidRPr="002D3857">
              <w:t>Dopuszcza się stosowanie dodatkowo filtrów, w celu eliminacji patogenów</w:t>
            </w:r>
          </w:p>
          <w:p w:rsidR="001B6389" w:rsidRPr="002D3857" w:rsidRDefault="001B6389" w:rsidP="00A9104E">
            <w:pPr>
              <w:jc w:val="both"/>
              <w:rPr>
                <w:rFonts w:cs="Arial"/>
                <w:b/>
              </w:rPr>
            </w:pPr>
            <w:r w:rsidRPr="002D3857">
              <w:rPr>
                <w:rFonts w:cs="Arial"/>
                <w:b/>
              </w:rPr>
              <w:t>Wykonawca zobowiązany jest uzgodnić z Zamawiającym na etapie realizacji umowy sposób zabudowy oraz ich podłączenia do instalacji elektrycznej pojazdu przed przystąpieniem do ich montażu w pojazdach.</w:t>
            </w:r>
          </w:p>
          <w:p w:rsidR="00574BD4" w:rsidRPr="00034754" w:rsidRDefault="00574BD4" w:rsidP="003C7703">
            <w:pPr>
              <w:jc w:val="both"/>
              <w:rPr>
                <w:rFonts w:cs="Arial"/>
              </w:rPr>
            </w:pPr>
            <w:r w:rsidRPr="002D3857">
              <w:rPr>
                <w:rFonts w:cs="Arial"/>
              </w:rPr>
              <w:t>Zamawiający podczas odbioru podda sprawdzeniu za pom</w:t>
            </w:r>
            <w:r w:rsidR="00A9104E" w:rsidRPr="002D3857">
              <w:rPr>
                <w:rFonts w:cs="Arial"/>
              </w:rPr>
              <w:t>o</w:t>
            </w:r>
            <w:r w:rsidRPr="002D3857">
              <w:rPr>
                <w:rFonts w:cs="Arial"/>
              </w:rPr>
              <w:t xml:space="preserve">cą </w:t>
            </w:r>
            <w:r w:rsidRPr="00034754">
              <w:rPr>
                <w:rFonts w:cs="Arial"/>
              </w:rPr>
              <w:t>miernika promieniowania UV-C, czy nie występuje emisja tego promieniowania do wnętrza pojazdu, który Wykonawca zobowiązany jest dostarczyć Zamawiającemu przed przystąpieniem do odbiorów.</w:t>
            </w:r>
          </w:p>
          <w:p w:rsidR="00574BD4" w:rsidRPr="00F21E8F" w:rsidRDefault="00574BD4" w:rsidP="003C7703">
            <w:pPr>
              <w:jc w:val="both"/>
              <w:rPr>
                <w:rFonts w:cs="Arial"/>
              </w:rPr>
            </w:pPr>
            <w:r w:rsidRPr="00034754">
              <w:rPr>
                <w:rFonts w:cs="Arial"/>
              </w:rPr>
              <w:t xml:space="preserve">Miejsca montażu </w:t>
            </w:r>
            <w:r w:rsidR="00FB4AC5" w:rsidRPr="00034754">
              <w:rPr>
                <w:rFonts w:cs="Arial"/>
              </w:rPr>
              <w:t>urządzeń</w:t>
            </w:r>
            <w:r w:rsidRPr="00034754">
              <w:rPr>
                <w:rFonts w:cs="Arial"/>
              </w:rPr>
              <w:t xml:space="preserve"> muszą być oznaczone za pomocą specjalnych </w:t>
            </w:r>
            <w:r>
              <w:rPr>
                <w:rFonts w:cs="Arial"/>
              </w:rPr>
              <w:t xml:space="preserve">naklejek ostrzegawczych, ostrzegających przed </w:t>
            </w:r>
            <w:r w:rsidR="00FB4AC5">
              <w:rPr>
                <w:rFonts w:cs="Arial"/>
              </w:rPr>
              <w:t xml:space="preserve">wykonywaniem </w:t>
            </w:r>
            <w:r>
              <w:rPr>
                <w:rFonts w:cs="Arial"/>
              </w:rPr>
              <w:t>prac</w:t>
            </w:r>
            <w:r w:rsidR="00FB4AC5">
              <w:rPr>
                <w:rFonts w:cs="Arial"/>
              </w:rPr>
              <w:t xml:space="preserve"> obsługowo - naprawczych przy </w:t>
            </w:r>
            <w:r>
              <w:rPr>
                <w:rFonts w:cs="Arial"/>
              </w:rPr>
              <w:t>włączonym urządzeni</w:t>
            </w:r>
            <w:r w:rsidR="003C7703">
              <w:rPr>
                <w:rFonts w:cs="Arial"/>
              </w:rPr>
              <w:t>u</w:t>
            </w:r>
            <w:r w:rsidR="00FB4AC5">
              <w:rPr>
                <w:rFonts w:cs="Arial"/>
              </w:rPr>
              <w:t>.</w:t>
            </w:r>
          </w:p>
          <w:p w:rsidR="00574BD4" w:rsidRPr="00F5010A" w:rsidRDefault="00574BD4" w:rsidP="00574BD4">
            <w:pPr>
              <w:rPr>
                <w:rFonts w:cs="Arial"/>
              </w:rPr>
            </w:pP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D02DBE" w:rsidRPr="00DD611B" w:rsidRDefault="00574BD4" w:rsidP="00C2652D">
            <w:pPr>
              <w:rPr>
                <w:rFonts w:cs="Arial"/>
                <w:b/>
              </w:rPr>
            </w:pPr>
            <w:r w:rsidRPr="00DD611B">
              <w:rPr>
                <w:rFonts w:cs="Arial"/>
                <w:b/>
              </w:rPr>
              <w:t xml:space="preserve">Parametry </w:t>
            </w:r>
            <w:r w:rsidR="00FB4AC5" w:rsidRPr="00DD611B">
              <w:rPr>
                <w:rFonts w:cs="Arial"/>
                <w:b/>
              </w:rPr>
              <w:t>urządzenia</w:t>
            </w:r>
            <w:r w:rsidRPr="00DD611B">
              <w:rPr>
                <w:rFonts w:cs="Arial"/>
                <w:b/>
              </w:rPr>
              <w:t>:</w:t>
            </w:r>
            <w:r w:rsidR="003A7DBE" w:rsidRPr="00DD611B">
              <w:rPr>
                <w:rFonts w:cs="Arial"/>
                <w:b/>
              </w:rPr>
              <w:t xml:space="preserve"> </w:t>
            </w:r>
          </w:p>
          <w:p w:rsidR="00574BD4" w:rsidRPr="003D006A" w:rsidRDefault="00574BD4" w:rsidP="003D006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3D006A">
              <w:rPr>
                <w:rFonts w:cs="Arial"/>
              </w:rPr>
              <w:t xml:space="preserve">Moc pobierana z </w:t>
            </w:r>
            <w:r w:rsidR="00892363" w:rsidRPr="003D006A">
              <w:rPr>
                <w:rFonts w:cs="Arial"/>
              </w:rPr>
              <w:t xml:space="preserve">instalacji elektrycznej </w:t>
            </w:r>
            <w:r w:rsidR="00996832" w:rsidRPr="003D006A">
              <w:rPr>
                <w:rFonts w:cs="Arial"/>
              </w:rPr>
              <w:t>pojazdu</w:t>
            </w:r>
            <w:r w:rsidRPr="003D006A">
              <w:rPr>
                <w:rFonts w:cs="Arial"/>
              </w:rPr>
              <w:t xml:space="preserve"> nie może być wyższa od </w:t>
            </w:r>
            <w:r w:rsidR="00FA2201" w:rsidRPr="008845E5">
              <w:rPr>
                <w:rFonts w:cs="Arial"/>
              </w:rPr>
              <w:t>6</w:t>
            </w:r>
            <w:r w:rsidR="00C75BF0" w:rsidRPr="008845E5">
              <w:rPr>
                <w:rFonts w:cs="Arial"/>
              </w:rPr>
              <w:t>0</w:t>
            </w:r>
            <w:r w:rsidRPr="003D006A">
              <w:rPr>
                <w:rFonts w:cs="Arial"/>
              </w:rPr>
              <w:t xml:space="preserve"> W</w:t>
            </w:r>
            <w:r w:rsidR="002E07DC">
              <w:rPr>
                <w:rFonts w:cs="Arial"/>
              </w:rPr>
              <w:t>.</w:t>
            </w:r>
          </w:p>
          <w:p w:rsidR="00574BD4" w:rsidRPr="003D006A" w:rsidRDefault="00574BD4" w:rsidP="003D006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3D006A">
              <w:rPr>
                <w:rFonts w:cs="Arial"/>
              </w:rPr>
              <w:t xml:space="preserve">Napięcie zasilania: </w:t>
            </w:r>
            <w:r w:rsidR="00996832" w:rsidRPr="002E07DC">
              <w:rPr>
                <w:rFonts w:cs="Arial"/>
              </w:rPr>
              <w:t>12</w:t>
            </w:r>
            <w:r w:rsidRPr="002E07DC">
              <w:rPr>
                <w:rFonts w:cs="Arial"/>
              </w:rPr>
              <w:t xml:space="preserve"> VDC</w:t>
            </w:r>
            <w:r w:rsidR="00996832" w:rsidRPr="002E07DC">
              <w:rPr>
                <w:rFonts w:cs="Arial"/>
              </w:rPr>
              <w:t xml:space="preserve"> </w:t>
            </w:r>
            <w:r w:rsidR="00996832" w:rsidRPr="003D006A">
              <w:rPr>
                <w:rFonts w:cs="Arial"/>
              </w:rPr>
              <w:t>– z instalacji elektrycznej pojazdu</w:t>
            </w:r>
          </w:p>
          <w:p w:rsidR="00574BD4" w:rsidRPr="003D006A" w:rsidRDefault="00574BD4" w:rsidP="003D006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3D006A">
              <w:rPr>
                <w:rFonts w:cs="Arial"/>
              </w:rPr>
              <w:t>Trwałość promienników ≥ 9000 h</w:t>
            </w:r>
          </w:p>
          <w:p w:rsidR="00892363" w:rsidRDefault="002E07DC" w:rsidP="003D006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Nominalna</w:t>
            </w:r>
            <w:r w:rsidR="00892363" w:rsidRPr="003D006A">
              <w:rPr>
                <w:rFonts w:cs="Arial"/>
              </w:rPr>
              <w:t xml:space="preserve"> moc promieniowania UV-C</w:t>
            </w:r>
            <w:r>
              <w:rPr>
                <w:rFonts w:cs="Arial"/>
              </w:rPr>
              <w:t xml:space="preserve"> musi być </w:t>
            </w:r>
            <w:r w:rsidRPr="00DC4B58">
              <w:rPr>
                <w:rFonts w:cs="Arial"/>
              </w:rPr>
              <w:t>≥</w:t>
            </w:r>
            <w:r w:rsidR="00892363" w:rsidRPr="00DC4B58">
              <w:rPr>
                <w:rFonts w:cs="Arial"/>
              </w:rPr>
              <w:t xml:space="preserve"> 1</w:t>
            </w:r>
            <w:r w:rsidR="00717F7C" w:rsidRPr="00DC4B58">
              <w:rPr>
                <w:rFonts w:cs="Arial"/>
              </w:rPr>
              <w:t>8</w:t>
            </w:r>
            <w:r w:rsidR="00892363" w:rsidRPr="00DC4B58">
              <w:rPr>
                <w:rFonts w:cs="Arial"/>
              </w:rPr>
              <w:t xml:space="preserve"> </w:t>
            </w:r>
            <w:r w:rsidR="00892363" w:rsidRPr="003D006A">
              <w:rPr>
                <w:rFonts w:cs="Arial"/>
              </w:rPr>
              <w:t>W</w:t>
            </w:r>
          </w:p>
          <w:p w:rsidR="003D006A" w:rsidRDefault="00C75BF0" w:rsidP="003D006A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Nominalny</w:t>
            </w:r>
            <w:r w:rsidR="003D006A">
              <w:rPr>
                <w:rFonts w:cs="Arial"/>
              </w:rPr>
              <w:t xml:space="preserve"> wydatek urządzenia</w:t>
            </w:r>
            <w:r w:rsidR="00717F7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="00717F7C">
              <w:rPr>
                <w:rFonts w:cs="Arial"/>
              </w:rPr>
              <w:t>określony ilością powietrza, jakie przepłynie przez urządzenie w czasie 1 godziny</w:t>
            </w:r>
            <w:r>
              <w:rPr>
                <w:rFonts w:cs="Arial"/>
              </w:rPr>
              <w:t>) musi być ≥</w:t>
            </w:r>
            <w:r w:rsidR="00717F7C">
              <w:rPr>
                <w:rFonts w:cs="Arial"/>
              </w:rPr>
              <w:t xml:space="preserve"> 80 </w:t>
            </w:r>
            <w:r w:rsidR="00717F7C" w:rsidRPr="001E7FBF">
              <w:rPr>
                <w:rFonts w:cs="Arial"/>
              </w:rPr>
              <w:t>m</w:t>
            </w:r>
            <w:r w:rsidR="00717F7C" w:rsidRPr="001E7FBF">
              <w:rPr>
                <w:rFonts w:cs="Arial"/>
                <w:vertAlign w:val="superscript"/>
              </w:rPr>
              <w:t>3</w:t>
            </w:r>
            <w:r w:rsidR="00717F7C" w:rsidRPr="001E7FBF">
              <w:rPr>
                <w:rFonts w:cs="Arial"/>
              </w:rPr>
              <w:t>/h</w:t>
            </w:r>
          </w:p>
          <w:p w:rsidR="00DD7C65" w:rsidRDefault="00D3209A" w:rsidP="00DD7C65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Wydajność urządzenia </w:t>
            </w:r>
            <w:r w:rsidR="003D006A">
              <w:rPr>
                <w:rFonts w:cs="Arial"/>
              </w:rPr>
              <w:t xml:space="preserve">musi </w:t>
            </w:r>
            <w:r>
              <w:rPr>
                <w:rFonts w:cs="Arial"/>
              </w:rPr>
              <w:t>gwarantować skute</w:t>
            </w:r>
            <w:r w:rsidR="00FA2201">
              <w:rPr>
                <w:rFonts w:cs="Arial"/>
              </w:rPr>
              <w:t xml:space="preserve">czność biobójczą w pojazdach, których wykaz stanowi załącznik nr 1 do </w:t>
            </w:r>
            <w:r w:rsidR="00E76A87">
              <w:rPr>
                <w:rFonts w:cs="Arial"/>
              </w:rPr>
              <w:t>umowy</w:t>
            </w:r>
            <w:r>
              <w:rPr>
                <w:rFonts w:cs="Arial"/>
              </w:rPr>
              <w:t>.</w:t>
            </w:r>
          </w:p>
          <w:p w:rsidR="00C75BF0" w:rsidRDefault="00C75BF0" w:rsidP="00DD7C65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Musi być wyposażone w licznik </w:t>
            </w:r>
            <w:r w:rsidR="00CB16F8">
              <w:rPr>
                <w:rFonts w:cs="Arial"/>
              </w:rPr>
              <w:t>czasu</w:t>
            </w:r>
            <w:r>
              <w:rPr>
                <w:rFonts w:cs="Arial"/>
              </w:rPr>
              <w:t xml:space="preserve"> pracy.</w:t>
            </w:r>
          </w:p>
          <w:p w:rsidR="00574BD4" w:rsidRPr="00DD7C65" w:rsidRDefault="00CB16F8" w:rsidP="00FA2201">
            <w:pPr>
              <w:rPr>
                <w:rFonts w:cs="Arial"/>
              </w:rPr>
            </w:pPr>
            <w:r w:rsidRPr="00CB16F8">
              <w:rPr>
                <w:rFonts w:cs="Arial"/>
              </w:rPr>
              <w:t xml:space="preserve"> 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DD611B" w:rsidRPr="00DD611B" w:rsidRDefault="00DD611B" w:rsidP="00A9104E">
            <w:pPr>
              <w:jc w:val="both"/>
              <w:rPr>
                <w:rFonts w:cs="Arial"/>
                <w:b/>
              </w:rPr>
            </w:pPr>
            <w:r w:rsidRPr="00DD611B">
              <w:rPr>
                <w:rFonts w:cs="Arial"/>
                <w:b/>
              </w:rPr>
              <w:t>Podłączenie urządzenia do instalacji elektrycznej w pojeździe.</w:t>
            </w:r>
          </w:p>
          <w:p w:rsidR="00FA2201" w:rsidRDefault="00370B02" w:rsidP="00FA2201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A2201" w:rsidRPr="00DD611B">
              <w:rPr>
                <w:rFonts w:cs="Arial"/>
              </w:rPr>
              <w:t>usi być przystosowane do zasilania z instalacji niskiego napięcia pojazdów tj. 12</w:t>
            </w:r>
            <w:r w:rsidR="00FA2201">
              <w:rPr>
                <w:rFonts w:cs="Arial"/>
              </w:rPr>
              <w:t xml:space="preserve"> V prądu stałego</w:t>
            </w:r>
          </w:p>
          <w:p w:rsidR="001D1369" w:rsidRPr="008845E5" w:rsidRDefault="001D1369" w:rsidP="001D136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8845E5">
              <w:rPr>
                <w:rFonts w:cs="Arial"/>
              </w:rPr>
              <w:t xml:space="preserve">Przyłączenie urządzeń do instalacji elektrycznej w pojazdach musi być </w:t>
            </w:r>
            <w:r w:rsidRPr="008845E5">
              <w:rPr>
                <w:rFonts w:cs="Arial"/>
              </w:rPr>
              <w:lastRenderedPageBreak/>
              <w:t>dokonane w sposób powodujący załączenie/wyłączenie urządzenia po włączeniu/wyłączeniu stacyjki. Powyższe możliwe jest poprzez wykorzystanie styków</w:t>
            </w:r>
            <w:r w:rsidR="003D006A" w:rsidRPr="008845E5">
              <w:rPr>
                <w:rFonts w:cs="Arial"/>
              </w:rPr>
              <w:t xml:space="preserve"> w pojeździe</w:t>
            </w:r>
            <w:r w:rsidRPr="008845E5">
              <w:rPr>
                <w:rFonts w:cs="Arial"/>
              </w:rPr>
              <w:t>:</w:t>
            </w:r>
          </w:p>
          <w:p w:rsidR="001D1369" w:rsidRPr="008845E5" w:rsidRDefault="001D1369" w:rsidP="001D1369">
            <w:pPr>
              <w:pStyle w:val="Akapitzlist"/>
              <w:numPr>
                <w:ilvl w:val="1"/>
                <w:numId w:val="16"/>
              </w:numPr>
              <w:ind w:left="1416"/>
              <w:jc w:val="both"/>
              <w:rPr>
                <w:rFonts w:cs="Arial"/>
              </w:rPr>
            </w:pPr>
            <w:r w:rsidRPr="008845E5">
              <w:rPr>
                <w:rFonts w:cs="Arial"/>
              </w:rPr>
              <w:t>oznaczonego numerem 30 (</w:t>
            </w:r>
            <w:r w:rsidRPr="008845E5">
              <w:rPr>
                <w:rFonts w:cs="Arial"/>
                <w:sz w:val="21"/>
                <w:szCs w:val="21"/>
                <w:shd w:val="clear" w:color="auto" w:fill="FFFFFF"/>
              </w:rPr>
              <w:t>zasilanie plusem bezpośrednio z akumulatora) do zasilenia urządzenia</w:t>
            </w:r>
          </w:p>
          <w:p w:rsidR="001D1369" w:rsidRPr="008845E5" w:rsidRDefault="001D1369" w:rsidP="001D1369">
            <w:pPr>
              <w:pStyle w:val="Akapitzlist"/>
              <w:numPr>
                <w:ilvl w:val="1"/>
                <w:numId w:val="16"/>
              </w:numPr>
              <w:ind w:left="1416"/>
              <w:jc w:val="both"/>
              <w:rPr>
                <w:rFonts w:cs="Arial"/>
              </w:rPr>
            </w:pPr>
            <w:r w:rsidRPr="008845E5">
              <w:rPr>
                <w:rFonts w:cs="Arial"/>
              </w:rPr>
              <w:t>oznaczonego numerem 15 (</w:t>
            </w:r>
            <w:r w:rsidRPr="008845E5">
              <w:rPr>
                <w:rFonts w:cs="Arial"/>
                <w:sz w:val="21"/>
                <w:szCs w:val="21"/>
                <w:shd w:val="clear" w:color="auto" w:fill="FFFFFF"/>
              </w:rPr>
              <w:t xml:space="preserve">zasilanie plusem po włączeniu stacyjki) – do </w:t>
            </w:r>
            <w:r w:rsidR="00FA2201" w:rsidRPr="008845E5">
              <w:rPr>
                <w:rFonts w:cs="Arial"/>
                <w:sz w:val="21"/>
                <w:szCs w:val="21"/>
                <w:shd w:val="clear" w:color="auto" w:fill="FFFFFF"/>
              </w:rPr>
              <w:t xml:space="preserve">zasilenia urządzenia lub do </w:t>
            </w:r>
            <w:r w:rsidRPr="008845E5">
              <w:rPr>
                <w:rFonts w:cs="Arial"/>
                <w:sz w:val="21"/>
                <w:szCs w:val="21"/>
                <w:shd w:val="clear" w:color="auto" w:fill="FFFFFF"/>
              </w:rPr>
              <w:t>sterowania załączaniem i wyłączaniem poprzez przekaźnik</w:t>
            </w:r>
            <w:r w:rsidR="00370B02" w:rsidRPr="008845E5">
              <w:rPr>
                <w:rFonts w:cs="Arial"/>
                <w:sz w:val="21"/>
                <w:szCs w:val="21"/>
                <w:shd w:val="clear" w:color="auto" w:fill="FFFFFF"/>
              </w:rPr>
              <w:t>.</w:t>
            </w:r>
          </w:p>
          <w:p w:rsidR="00370B02" w:rsidRPr="00370B02" w:rsidRDefault="00370B02" w:rsidP="00370B02">
            <w:pPr>
              <w:pStyle w:val="Akapitzlist"/>
              <w:ind w:left="708"/>
              <w:jc w:val="both"/>
              <w:rPr>
                <w:rFonts w:cs="Arial"/>
              </w:rPr>
            </w:pPr>
            <w:r w:rsidRPr="00370B02">
              <w:rPr>
                <w:rFonts w:cs="Arial"/>
              </w:rPr>
              <w:t xml:space="preserve">Oznaczenie styków zgodnie z normą </w:t>
            </w:r>
            <w:r w:rsidRPr="00370B02">
              <w:rPr>
                <w:rFonts w:cs="Arial"/>
                <w:bCs/>
                <w:sz w:val="21"/>
                <w:szCs w:val="21"/>
                <w:shd w:val="clear" w:color="auto" w:fill="FFFFFF"/>
              </w:rPr>
              <w:t xml:space="preserve">DIN 72552 </w:t>
            </w:r>
            <w:r w:rsidRPr="00370B02">
              <w:rPr>
                <w:rFonts w:cs="Arial"/>
                <w:sz w:val="21"/>
                <w:szCs w:val="21"/>
                <w:shd w:val="clear" w:color="auto" w:fill="FFFFFF"/>
              </w:rPr>
              <w:t>– normą opisującą styki elektryczne w samochodach za pomocą kodów numerowo-literowych.</w:t>
            </w:r>
          </w:p>
          <w:p w:rsidR="00E568E6" w:rsidRPr="001D1369" w:rsidRDefault="00370B02" w:rsidP="00370B02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370B02">
              <w:rPr>
                <w:rFonts w:cs="Arial"/>
              </w:rPr>
              <w:t>W</w:t>
            </w:r>
            <w:r w:rsidR="00E568E6" w:rsidRPr="00370B02">
              <w:rPr>
                <w:rFonts w:cs="Arial"/>
              </w:rPr>
              <w:t xml:space="preserve">ymagane jest bezpośrednie zasilenie urządzenia </w:t>
            </w:r>
            <w:r w:rsidR="00E568E6" w:rsidRPr="00DD611B">
              <w:rPr>
                <w:rFonts w:cs="Arial"/>
              </w:rPr>
              <w:t xml:space="preserve">poprzez gniazdo zapalniczki, które Wykonawca zobowiązany jest </w:t>
            </w:r>
            <w:r w:rsidR="00E568E6">
              <w:rPr>
                <w:rFonts w:cs="Arial"/>
              </w:rPr>
              <w:t>zamontować</w:t>
            </w:r>
            <w:r w:rsidR="00E568E6" w:rsidRPr="00DD611B">
              <w:rPr>
                <w:rFonts w:cs="Arial"/>
              </w:rPr>
              <w:t xml:space="preserve"> w pobliżu </w:t>
            </w:r>
            <w:r w:rsidR="00E568E6">
              <w:rPr>
                <w:rFonts w:cs="Arial"/>
              </w:rPr>
              <w:t xml:space="preserve">miejsca </w:t>
            </w:r>
            <w:r w:rsidR="00E568E6" w:rsidRPr="00DD611B">
              <w:rPr>
                <w:rFonts w:cs="Arial"/>
              </w:rPr>
              <w:t>montażu urządzenia. Dopuszcza się wykorzystanie gniazda zapalniczki zamontowanego fabrycznie</w:t>
            </w:r>
            <w:r w:rsidR="00E568E6">
              <w:rPr>
                <w:rFonts w:cs="Arial"/>
              </w:rPr>
              <w:t>, jeżeli znajduje się w pobliżu urządzenia</w:t>
            </w:r>
            <w:r w:rsidR="003D006A">
              <w:rPr>
                <w:rFonts w:cs="Arial"/>
              </w:rPr>
              <w:t xml:space="preserve"> i spełnia ww. wymagania</w:t>
            </w:r>
            <w:r w:rsidR="00E568E6" w:rsidRPr="00DD611B">
              <w:rPr>
                <w:rFonts w:cs="Arial"/>
              </w:rPr>
              <w:t>.</w:t>
            </w:r>
          </w:p>
          <w:p w:rsidR="00DD611B" w:rsidRDefault="00FA2201" w:rsidP="00E568E6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DD611B" w:rsidRPr="00DD611B">
              <w:rPr>
                <w:rFonts w:cs="Arial"/>
              </w:rPr>
              <w:t>rządzenie musi posiadać włącznik, który umożliwia obsłudze jego wyłączenie/załączenie.</w:t>
            </w:r>
          </w:p>
          <w:p w:rsidR="00E568E6" w:rsidRDefault="00996832" w:rsidP="001D136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DD611B">
              <w:rPr>
                <w:rFonts w:cs="Arial"/>
              </w:rPr>
              <w:t xml:space="preserve">Instalacja elektryczna urządzenia nie może mieć negatywnego oddziaływania na instalację elektryczną pojazdu i elementy do niej podłączone. Nie może w szczególności zakłócać pracy </w:t>
            </w:r>
            <w:r w:rsidR="00D11314" w:rsidRPr="00DD611B">
              <w:rPr>
                <w:rFonts w:cs="Arial"/>
              </w:rPr>
              <w:t xml:space="preserve">innych </w:t>
            </w:r>
            <w:r w:rsidRPr="00DD611B">
              <w:rPr>
                <w:rFonts w:cs="Arial"/>
              </w:rPr>
              <w:t>urządzeń</w:t>
            </w:r>
            <w:r w:rsidR="00D11314" w:rsidRPr="00DD611B">
              <w:rPr>
                <w:rFonts w:cs="Arial"/>
              </w:rPr>
              <w:t>.</w:t>
            </w:r>
            <w:r w:rsidR="00FA2201">
              <w:rPr>
                <w:rFonts w:cs="Arial"/>
              </w:rPr>
              <w:t xml:space="preserve"> Powyższe musi zostać </w:t>
            </w:r>
            <w:r w:rsidR="00DC4B58">
              <w:rPr>
                <w:rFonts w:cs="Arial"/>
              </w:rPr>
              <w:t xml:space="preserve">potwierdzone </w:t>
            </w:r>
            <w:r w:rsidR="00FA2201">
              <w:rPr>
                <w:rFonts w:cs="Arial"/>
              </w:rPr>
              <w:t>w deklaracji zgodności w zakresie kompatybilności elektromagnetycznej</w:t>
            </w:r>
            <w:r w:rsidR="00DC4B58">
              <w:rPr>
                <w:rFonts w:cs="Arial"/>
              </w:rPr>
              <w:t xml:space="preserve"> EMC</w:t>
            </w:r>
            <w:r w:rsidR="00370B02">
              <w:rPr>
                <w:rFonts w:cs="Arial"/>
              </w:rPr>
              <w:t>, którą Wykonawca zobowiązany jest załączyć do oferty.</w:t>
            </w:r>
          </w:p>
          <w:p w:rsidR="00D11314" w:rsidRPr="00DD611B" w:rsidRDefault="00D11314" w:rsidP="001D136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</w:pPr>
            <w:r w:rsidRPr="00DD611B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 xml:space="preserve">Zamawiający dopuszcza inny sposób podłączenia urządzenia do instalacji elektrycznej w pojeździe, pod warunkiem </w:t>
            </w:r>
            <w:r w:rsidR="008E30AD" w:rsidRPr="00DD611B">
              <w:rPr>
                <w:rFonts w:cs="Arial"/>
                <w:color w:val="202122"/>
                <w:sz w:val="21"/>
                <w:szCs w:val="21"/>
                <w:shd w:val="clear" w:color="auto" w:fill="FFFFFF"/>
              </w:rPr>
              <w:t>uzyskania akceptacji Zamawiającego na etapie realizacji umowy.</w:t>
            </w:r>
          </w:p>
          <w:p w:rsidR="00E75459" w:rsidRPr="00DD611B" w:rsidRDefault="00E75459" w:rsidP="001D136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Arial"/>
                <w:b/>
              </w:rPr>
            </w:pPr>
            <w:r w:rsidRPr="00DD611B">
              <w:rPr>
                <w:rFonts w:cs="Arial"/>
                <w:b/>
                <w:color w:val="202122"/>
                <w:sz w:val="21"/>
                <w:szCs w:val="21"/>
                <w:shd w:val="clear" w:color="auto" w:fill="FFFFFF"/>
              </w:rPr>
              <w:t xml:space="preserve">Wykonawca zobowiązany jest na etapie realizacji umowy – przed przystąpieniem do montażu urządzeń w pojazdach, uzgodnić z Zamawiającym sposób podłączenia urządzeń do instalacji elektrycznej w poszczególnych modelach pojazdów. 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A725E9" w:rsidRPr="008845E5" w:rsidRDefault="00A725E9" w:rsidP="00A9104E">
            <w:pPr>
              <w:jc w:val="both"/>
              <w:rPr>
                <w:rFonts w:cs="Arial"/>
              </w:rPr>
            </w:pPr>
            <w:r w:rsidRPr="008845E5">
              <w:rPr>
                <w:rFonts w:cs="Arial"/>
              </w:rPr>
              <w:t>Wykonawca zobowiązany jest dostarczyć wraz z urządzeniem:</w:t>
            </w:r>
          </w:p>
          <w:p w:rsidR="00A725E9" w:rsidRPr="008845E5" w:rsidRDefault="00A725E9" w:rsidP="00A73CD4">
            <w:pPr>
              <w:pStyle w:val="Akapitzlist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8845E5">
              <w:rPr>
                <w:rFonts w:cs="Arial"/>
              </w:rPr>
              <w:t>dokumentację zawierającą: instrukcję obsługi, opis budowy urządze</w:t>
            </w:r>
            <w:r w:rsidR="00A73CD4" w:rsidRPr="008845E5">
              <w:rPr>
                <w:rFonts w:cs="Arial"/>
              </w:rPr>
              <w:t>ń, wykaz czynności obsługowych</w:t>
            </w:r>
            <w:r w:rsidRPr="008845E5">
              <w:rPr>
                <w:rFonts w:cs="Arial"/>
              </w:rPr>
              <w:t>, instrukcje naprawy, wykaz części zamiennych, zasady bezpiecznej eksploatacji, karty gwarancyjne wydane oddzielnie dla każdego urządzenia.</w:t>
            </w:r>
          </w:p>
          <w:p w:rsidR="0098459F" w:rsidRPr="008845E5" w:rsidRDefault="0098459F" w:rsidP="00A73CD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845E5">
              <w:rPr>
                <w:rFonts w:cs="Arial"/>
              </w:rPr>
              <w:t>miernik do pomiaru obecności ozonu o parametrach:</w:t>
            </w:r>
          </w:p>
          <w:p w:rsidR="0098459F" w:rsidRPr="008845E5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845E5">
              <w:rPr>
                <w:rFonts w:cs="Arial"/>
              </w:rPr>
              <w:t xml:space="preserve">zakres pomiarowy nie mniejszy od:0 – 5,000 </w:t>
            </w:r>
            <w:proofErr w:type="spellStart"/>
            <w:r w:rsidRPr="008845E5">
              <w:rPr>
                <w:rFonts w:cs="Arial"/>
              </w:rPr>
              <w:t>ppm</w:t>
            </w:r>
            <w:proofErr w:type="spellEnd"/>
          </w:p>
          <w:p w:rsidR="0098459F" w:rsidRPr="008845E5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845E5">
              <w:rPr>
                <w:rFonts w:cs="Arial"/>
              </w:rPr>
              <w:t xml:space="preserve">rozdzielczość nie mniejsza od: 0,001 </w:t>
            </w:r>
            <w:proofErr w:type="spellStart"/>
            <w:r w:rsidRPr="008845E5">
              <w:rPr>
                <w:rFonts w:cs="Arial"/>
              </w:rPr>
              <w:t>ppm</w:t>
            </w:r>
            <w:proofErr w:type="spellEnd"/>
          </w:p>
          <w:p w:rsidR="0098459F" w:rsidRPr="008845E5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845E5">
              <w:rPr>
                <w:rFonts w:cs="Arial"/>
              </w:rPr>
              <w:t>wyposażony w wyświetlacz ciekłokrystaliczny</w:t>
            </w:r>
          </w:p>
          <w:p w:rsidR="0098459F" w:rsidRPr="008845E5" w:rsidRDefault="0098459F" w:rsidP="00A73CD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8845E5">
              <w:rPr>
                <w:rFonts w:cs="Arial"/>
              </w:rPr>
              <w:t xml:space="preserve">zasilanie z baterii </w:t>
            </w:r>
            <w:proofErr w:type="spellStart"/>
            <w:r w:rsidRPr="008845E5">
              <w:rPr>
                <w:rFonts w:cs="Arial"/>
              </w:rPr>
              <w:t>litowo</w:t>
            </w:r>
            <w:proofErr w:type="spellEnd"/>
            <w:r w:rsidRPr="008845E5">
              <w:rPr>
                <w:rFonts w:cs="Arial"/>
              </w:rPr>
              <w:t>-jonowej</w:t>
            </w:r>
          </w:p>
          <w:p w:rsidR="0098459F" w:rsidRPr="008845E5" w:rsidRDefault="0098459F" w:rsidP="00A73CD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8845E5">
              <w:rPr>
                <w:rFonts w:cs="Arial"/>
              </w:rPr>
              <w:t>miernik do pomiaru promieniowania UV-C o parametrach:</w:t>
            </w:r>
          </w:p>
          <w:p w:rsidR="0098459F" w:rsidRPr="008845E5" w:rsidRDefault="0098459F" w:rsidP="00A73CD4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8845E5">
              <w:rPr>
                <w:rFonts w:cs="Arial"/>
              </w:rPr>
              <w:t xml:space="preserve">zakres pomiarowy nie mniejszy od: 220 – 275 </w:t>
            </w:r>
            <w:proofErr w:type="spellStart"/>
            <w:r w:rsidRPr="008845E5">
              <w:rPr>
                <w:rFonts w:cs="Arial"/>
              </w:rPr>
              <w:t>nm</w:t>
            </w:r>
            <w:proofErr w:type="spellEnd"/>
          </w:p>
          <w:p w:rsidR="0098459F" w:rsidRPr="008845E5" w:rsidRDefault="0098459F" w:rsidP="0098459F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8845E5">
              <w:rPr>
                <w:rFonts w:cs="Arial"/>
              </w:rPr>
              <w:t xml:space="preserve">punkt kalibracji czujnika: 254 </w:t>
            </w:r>
            <w:proofErr w:type="spellStart"/>
            <w:r w:rsidRPr="008845E5">
              <w:rPr>
                <w:rFonts w:cs="Arial"/>
              </w:rPr>
              <w:t>nm</w:t>
            </w:r>
            <w:proofErr w:type="spellEnd"/>
          </w:p>
          <w:p w:rsidR="00574BD4" w:rsidRPr="008845E5" w:rsidRDefault="0098459F" w:rsidP="0098459F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8845E5">
              <w:rPr>
                <w:rFonts w:cs="Arial"/>
              </w:rPr>
              <w:t>próbkowanie nie mniejsze od: 3 razy na sekundę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1594" w:rsidRPr="008758EB" w:rsidRDefault="00574BD4" w:rsidP="00B678A4">
            <w:pPr>
              <w:pStyle w:val="Lista2"/>
              <w:numPr>
                <w:ilvl w:val="0"/>
                <w:numId w:val="0"/>
              </w:numPr>
              <w:ind w:left="360"/>
              <w:rPr>
                <w:szCs w:val="22"/>
              </w:rPr>
            </w:pPr>
            <w:r w:rsidRPr="008845E5">
              <w:rPr>
                <w:szCs w:val="22"/>
              </w:rPr>
              <w:t xml:space="preserve">Montaż urządzeń realizowany będzie na terenie zajezdni MPK Lublin przy ul. </w:t>
            </w:r>
            <w:r w:rsidR="00717F7C" w:rsidRPr="008845E5">
              <w:rPr>
                <w:szCs w:val="22"/>
              </w:rPr>
              <w:t>Stefana Stefczyka</w:t>
            </w:r>
            <w:r w:rsidR="00511432">
              <w:rPr>
                <w:szCs w:val="22"/>
              </w:rPr>
              <w:t xml:space="preserve"> 40</w:t>
            </w:r>
            <w:r w:rsidR="00717F7C" w:rsidRPr="008845E5">
              <w:rPr>
                <w:szCs w:val="22"/>
              </w:rPr>
              <w:t>.</w:t>
            </w:r>
            <w:r w:rsidRPr="008845E5">
              <w:rPr>
                <w:szCs w:val="22"/>
              </w:rPr>
              <w:t xml:space="preserve"> MPK Lublin potwierdziło dzienną dostępność pojazdów </w:t>
            </w:r>
            <w:r w:rsidR="00717F7C" w:rsidRPr="008845E5">
              <w:rPr>
                <w:szCs w:val="22"/>
              </w:rPr>
              <w:t>do</w:t>
            </w:r>
            <w:r w:rsidRPr="008845E5">
              <w:rPr>
                <w:szCs w:val="22"/>
              </w:rPr>
              <w:t xml:space="preserve"> montaż</w:t>
            </w:r>
            <w:r w:rsidR="00717F7C" w:rsidRPr="008845E5">
              <w:rPr>
                <w:szCs w:val="22"/>
              </w:rPr>
              <w:t>u</w:t>
            </w:r>
            <w:r w:rsidR="00511432">
              <w:rPr>
                <w:szCs w:val="22"/>
              </w:rPr>
              <w:t xml:space="preserve"> (mając na uwadze konieczność wykorzystywania pojazdów do codziennego przewozu dzieci</w:t>
            </w:r>
            <w:r w:rsidR="005602C4">
              <w:rPr>
                <w:szCs w:val="22"/>
              </w:rPr>
              <w:t xml:space="preserve"> do szkół</w:t>
            </w:r>
            <w:bookmarkStart w:id="0" w:name="_GoBack"/>
            <w:bookmarkEnd w:id="0"/>
            <w:r w:rsidR="00511432">
              <w:rPr>
                <w:szCs w:val="22"/>
              </w:rPr>
              <w:t xml:space="preserve">) </w:t>
            </w:r>
            <w:r w:rsidRPr="008845E5">
              <w:rPr>
                <w:szCs w:val="22"/>
              </w:rPr>
              <w:t xml:space="preserve"> </w:t>
            </w:r>
            <w:r w:rsidR="00717F7C" w:rsidRPr="008845E5">
              <w:rPr>
                <w:szCs w:val="22"/>
              </w:rPr>
              <w:t>w liczbie</w:t>
            </w:r>
            <w:r w:rsidR="001A6DBD">
              <w:rPr>
                <w:szCs w:val="22"/>
              </w:rPr>
              <w:t xml:space="preserve"> 5 </w:t>
            </w:r>
            <w:r w:rsidR="003D006A" w:rsidRPr="008845E5">
              <w:rPr>
                <w:szCs w:val="22"/>
              </w:rPr>
              <w:t>pojazdów</w:t>
            </w:r>
            <w:r w:rsidR="001A6DBD">
              <w:rPr>
                <w:szCs w:val="22"/>
              </w:rPr>
              <w:t xml:space="preserve"> w dni robocze pomiędz</w:t>
            </w:r>
            <w:r w:rsidR="009A58C9">
              <w:rPr>
                <w:szCs w:val="22"/>
              </w:rPr>
              <w:t xml:space="preserve">y godzinami 10-00 - 13-00 oraz </w:t>
            </w:r>
            <w:r w:rsidR="001A6DBD">
              <w:rPr>
                <w:szCs w:val="22"/>
              </w:rPr>
              <w:t xml:space="preserve"> wszystkich pojazdów w </w:t>
            </w:r>
            <w:r w:rsidR="009A58C9">
              <w:rPr>
                <w:szCs w:val="22"/>
              </w:rPr>
              <w:t xml:space="preserve">soboty, </w:t>
            </w:r>
            <w:r w:rsidR="001A6DBD">
              <w:rPr>
                <w:szCs w:val="22"/>
              </w:rPr>
              <w:t xml:space="preserve">niedziele i święta pomiędzy godzinami </w:t>
            </w:r>
            <w:r w:rsidR="00B678A4">
              <w:rPr>
                <w:szCs w:val="22"/>
              </w:rPr>
              <w:t>10-00 – 18-00.</w:t>
            </w:r>
            <w:r w:rsidR="002D3857" w:rsidRPr="008845E5">
              <w:rPr>
                <w:szCs w:val="22"/>
              </w:rPr>
              <w:t xml:space="preserve"> </w:t>
            </w:r>
          </w:p>
        </w:tc>
      </w:tr>
      <w:tr w:rsidR="00574BD4" w:rsidRPr="00F5010A" w:rsidTr="00B42FBF">
        <w:tc>
          <w:tcPr>
            <w:tcW w:w="1419" w:type="dxa"/>
          </w:tcPr>
          <w:p w:rsidR="00574BD4" w:rsidRPr="00B42FBF" w:rsidRDefault="00574BD4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CC258D" w:rsidRPr="00CC258D" w:rsidRDefault="00574BD4" w:rsidP="00CC258D">
            <w:pPr>
              <w:pStyle w:val="Lista2"/>
              <w:numPr>
                <w:ilvl w:val="0"/>
                <w:numId w:val="0"/>
              </w:numPr>
              <w:tabs>
                <w:tab w:val="clear" w:pos="567"/>
                <w:tab w:val="left" w:pos="141"/>
              </w:tabs>
              <w:ind w:left="792" w:hanging="432"/>
              <w:rPr>
                <w:szCs w:val="22"/>
              </w:rPr>
            </w:pPr>
            <w:r w:rsidRPr="00F5010A">
              <w:rPr>
                <w:szCs w:val="22"/>
              </w:rPr>
              <w:t>Urządzenie</w:t>
            </w:r>
            <w:r w:rsidR="00A73CD4">
              <w:rPr>
                <w:szCs w:val="22"/>
              </w:rPr>
              <w:t xml:space="preserve"> </w:t>
            </w:r>
            <w:r w:rsidRPr="00F5010A">
              <w:rPr>
                <w:szCs w:val="22"/>
              </w:rPr>
              <w:t xml:space="preserve">nie może wytwarzać </w:t>
            </w:r>
            <w:r w:rsidR="003D006A">
              <w:rPr>
                <w:szCs w:val="22"/>
              </w:rPr>
              <w:t xml:space="preserve">uciążliwego </w:t>
            </w:r>
            <w:r w:rsidRPr="00F5010A">
              <w:rPr>
                <w:szCs w:val="22"/>
              </w:rPr>
              <w:t>hałasu.</w:t>
            </w:r>
            <w:r w:rsidR="00CB16F8">
              <w:rPr>
                <w:szCs w:val="22"/>
              </w:rPr>
              <w:t xml:space="preserve"> Zalecany jest poziom hałasu o wartości ≤ 30 </w:t>
            </w:r>
            <w:proofErr w:type="spellStart"/>
            <w:r w:rsidR="00CB16F8">
              <w:rPr>
                <w:szCs w:val="22"/>
              </w:rPr>
              <w:t>dB</w:t>
            </w:r>
            <w:proofErr w:type="spellEnd"/>
          </w:p>
          <w:p w:rsidR="00574BD4" w:rsidRPr="00F5010A" w:rsidRDefault="00574BD4" w:rsidP="00A255EB">
            <w:pPr>
              <w:rPr>
                <w:rFonts w:cs="Arial"/>
              </w:rPr>
            </w:pPr>
          </w:p>
        </w:tc>
      </w:tr>
      <w:tr w:rsidR="003A68DE" w:rsidRPr="00F5010A" w:rsidTr="00B42FBF">
        <w:tc>
          <w:tcPr>
            <w:tcW w:w="1419" w:type="dxa"/>
          </w:tcPr>
          <w:p w:rsidR="003A68DE" w:rsidRPr="00B42FBF" w:rsidRDefault="003A68DE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68DE" w:rsidRDefault="003A68DE" w:rsidP="00370B02">
            <w:pPr>
              <w:rPr>
                <w:rFonts w:cs="Arial"/>
              </w:rPr>
            </w:pPr>
            <w:r>
              <w:rPr>
                <w:rFonts w:cs="Arial"/>
              </w:rPr>
              <w:t>Wykonawca udziela 2 letniej gwarancji na urządzenia, która musi obejmować wszystkie jego komponenty</w:t>
            </w:r>
            <w:r w:rsidR="00370B02">
              <w:rPr>
                <w:rFonts w:cs="Arial"/>
              </w:rPr>
              <w:t>.</w:t>
            </w:r>
          </w:p>
        </w:tc>
      </w:tr>
      <w:tr w:rsidR="003A68DE" w:rsidRPr="00F5010A" w:rsidTr="00B42FBF">
        <w:tc>
          <w:tcPr>
            <w:tcW w:w="1419" w:type="dxa"/>
          </w:tcPr>
          <w:p w:rsidR="003A68DE" w:rsidRPr="00B42FBF" w:rsidRDefault="003A68DE" w:rsidP="00B42FBF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8045" w:type="dxa"/>
          </w:tcPr>
          <w:p w:rsidR="003A68DE" w:rsidRDefault="003A68DE" w:rsidP="0098459F">
            <w:pPr>
              <w:rPr>
                <w:rFonts w:cs="Arial"/>
              </w:rPr>
            </w:pPr>
            <w:r>
              <w:rPr>
                <w:rFonts w:cs="Arial"/>
              </w:rPr>
              <w:t>Wykonawca zobowiązany jest do zabezpieczenia dostępności części zamiennych w okresie gwarancji oraz po jej upływie przez</w:t>
            </w:r>
            <w:r w:rsidR="0098459F">
              <w:rPr>
                <w:rFonts w:cs="Arial"/>
              </w:rPr>
              <w:t xml:space="preserve"> co najmniej</w:t>
            </w:r>
            <w:r>
              <w:rPr>
                <w:rFonts w:cs="Arial"/>
              </w:rPr>
              <w:t xml:space="preserve"> </w:t>
            </w:r>
            <w:r w:rsidR="0098459F" w:rsidRPr="00A73CD4">
              <w:rPr>
                <w:rFonts w:cs="Arial"/>
              </w:rPr>
              <w:t xml:space="preserve">2 </w:t>
            </w:r>
            <w:r>
              <w:rPr>
                <w:rFonts w:cs="Arial"/>
              </w:rPr>
              <w:t>lat</w:t>
            </w:r>
            <w:r w:rsidR="0098459F">
              <w:rPr>
                <w:rFonts w:cs="Arial"/>
              </w:rPr>
              <w:t>a</w:t>
            </w:r>
            <w:r>
              <w:rPr>
                <w:rFonts w:cs="Arial"/>
              </w:rPr>
              <w:t>. Wykonawca wskaże Zamawiającemu zamienniki części zamiennych, jeżeli są dostępne na rynku</w:t>
            </w:r>
            <w:r w:rsidR="0098459F">
              <w:rPr>
                <w:rFonts w:cs="Arial"/>
              </w:rPr>
              <w:t xml:space="preserve"> na etapie realizacji umowy</w:t>
            </w:r>
            <w:r>
              <w:rPr>
                <w:rFonts w:cs="Arial"/>
              </w:rPr>
              <w:t>.</w:t>
            </w:r>
          </w:p>
        </w:tc>
      </w:tr>
    </w:tbl>
    <w:p w:rsidR="008F31BF" w:rsidRDefault="008F31BF"/>
    <w:sectPr w:rsidR="008F31BF" w:rsidSect="00CA0581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C7" w:rsidRDefault="00B800C7" w:rsidP="00F5278B">
      <w:pPr>
        <w:spacing w:after="0" w:line="240" w:lineRule="auto"/>
      </w:pPr>
      <w:r>
        <w:separator/>
      </w:r>
    </w:p>
  </w:endnote>
  <w:endnote w:type="continuationSeparator" w:id="0">
    <w:p w:rsidR="00B800C7" w:rsidRDefault="00B800C7" w:rsidP="00F5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C7" w:rsidRDefault="00B800C7" w:rsidP="00F5278B">
      <w:pPr>
        <w:spacing w:after="0" w:line="240" w:lineRule="auto"/>
      </w:pPr>
      <w:r>
        <w:separator/>
      </w:r>
    </w:p>
  </w:footnote>
  <w:footnote w:type="continuationSeparator" w:id="0">
    <w:p w:rsidR="00B800C7" w:rsidRDefault="00B800C7" w:rsidP="00F5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8B" w:rsidRPr="004B7038" w:rsidRDefault="009A58C9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>DZ.370.2.2021</w:t>
    </w:r>
    <w:r w:rsidR="00AF2AEF" w:rsidRPr="004B7038">
      <w:rPr>
        <w:b/>
        <w:sz w:val="18"/>
        <w:szCs w:val="18"/>
      </w:rPr>
      <w:t xml:space="preserve">                                </w:t>
    </w:r>
    <w:r w:rsidR="004B7038" w:rsidRPr="004B7038">
      <w:rPr>
        <w:b/>
        <w:sz w:val="18"/>
        <w:szCs w:val="18"/>
      </w:rPr>
      <w:t xml:space="preserve">  </w:t>
    </w:r>
    <w:r w:rsidR="00F5278B" w:rsidRPr="004B7038">
      <w:rPr>
        <w:b/>
        <w:sz w:val="18"/>
        <w:szCs w:val="18"/>
      </w:rPr>
      <w:t xml:space="preserve"> </w:t>
    </w:r>
    <w:r w:rsidR="004B7038" w:rsidRPr="004B7038">
      <w:rPr>
        <w:b/>
        <w:sz w:val="18"/>
        <w:szCs w:val="18"/>
      </w:rPr>
      <w:t xml:space="preserve">       </w:t>
    </w:r>
    <w:r w:rsidR="00F5278B" w:rsidRPr="004B7038">
      <w:rPr>
        <w:b/>
        <w:sz w:val="18"/>
        <w:szCs w:val="18"/>
      </w:rPr>
      <w:t xml:space="preserve">Załącznik nr 1 do </w:t>
    </w:r>
    <w:r w:rsidR="004B7038" w:rsidRPr="004B7038">
      <w:rPr>
        <w:b/>
        <w:sz w:val="18"/>
        <w:szCs w:val="18"/>
      </w:rPr>
      <w:t xml:space="preserve">zapytania ofertowego </w:t>
    </w:r>
    <w:r w:rsidR="00F5278B" w:rsidRPr="004B7038">
      <w:rPr>
        <w:b/>
        <w:sz w:val="18"/>
        <w:szCs w:val="18"/>
      </w:rPr>
      <w:t>- Załącznik nr 2 do umowy-</w:t>
    </w:r>
  </w:p>
  <w:p w:rsidR="00F5278B" w:rsidRPr="004B7038" w:rsidRDefault="00AF2AEF" w:rsidP="00AF2AEF">
    <w:pPr>
      <w:pStyle w:val="Nagwek"/>
      <w:jc w:val="center"/>
      <w:rPr>
        <w:b/>
        <w:sz w:val="18"/>
        <w:szCs w:val="18"/>
      </w:rPr>
    </w:pPr>
    <w:r w:rsidRPr="004B7038">
      <w:rPr>
        <w:b/>
        <w:sz w:val="18"/>
        <w:szCs w:val="18"/>
      </w:rPr>
      <w:t xml:space="preserve">                                                                </w:t>
    </w:r>
    <w:r w:rsidR="004B7038">
      <w:rPr>
        <w:b/>
        <w:sz w:val="18"/>
        <w:szCs w:val="18"/>
      </w:rPr>
      <w:t xml:space="preserve">        </w:t>
    </w:r>
    <w:r w:rsidR="009A58C9">
      <w:rPr>
        <w:b/>
        <w:sz w:val="18"/>
        <w:szCs w:val="18"/>
      </w:rPr>
      <w:t xml:space="preserve">                 </w:t>
    </w:r>
    <w:r w:rsidR="00F5278B" w:rsidRPr="004B7038">
      <w:rPr>
        <w:b/>
        <w:sz w:val="18"/>
        <w:szCs w:val="18"/>
      </w:rPr>
      <w:t>Specyfikacja techniczna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A94"/>
    <w:multiLevelType w:val="hybridMultilevel"/>
    <w:tmpl w:val="148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84C"/>
    <w:multiLevelType w:val="hybridMultilevel"/>
    <w:tmpl w:val="2FC296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C021BD"/>
    <w:multiLevelType w:val="hybridMultilevel"/>
    <w:tmpl w:val="A3BE3F54"/>
    <w:lvl w:ilvl="0" w:tplc="C39820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3574F"/>
    <w:multiLevelType w:val="multilevel"/>
    <w:tmpl w:val="AA225F0A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20533F2"/>
    <w:multiLevelType w:val="hybridMultilevel"/>
    <w:tmpl w:val="FF46CA14"/>
    <w:lvl w:ilvl="0" w:tplc="6B028B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2941558"/>
    <w:multiLevelType w:val="hybridMultilevel"/>
    <w:tmpl w:val="78A6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D2D2C"/>
    <w:multiLevelType w:val="hybridMultilevel"/>
    <w:tmpl w:val="635AEE6E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49993C23"/>
    <w:multiLevelType w:val="hybridMultilevel"/>
    <w:tmpl w:val="B75A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37E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E646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567915"/>
    <w:multiLevelType w:val="hybridMultilevel"/>
    <w:tmpl w:val="02AA8ECC"/>
    <w:lvl w:ilvl="0" w:tplc="C792B9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C18E4"/>
    <w:multiLevelType w:val="hybridMultilevel"/>
    <w:tmpl w:val="4AFA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B36CA"/>
    <w:multiLevelType w:val="hybridMultilevel"/>
    <w:tmpl w:val="436E5200"/>
    <w:lvl w:ilvl="0" w:tplc="C20247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63E07"/>
    <w:multiLevelType w:val="hybridMultilevel"/>
    <w:tmpl w:val="BB6C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A4CC6"/>
    <w:multiLevelType w:val="hybridMultilevel"/>
    <w:tmpl w:val="9496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6E"/>
    <w:rsid w:val="00012902"/>
    <w:rsid w:val="00030885"/>
    <w:rsid w:val="00034754"/>
    <w:rsid w:val="00066457"/>
    <w:rsid w:val="0009673B"/>
    <w:rsid w:val="000A61D5"/>
    <w:rsid w:val="000B08A2"/>
    <w:rsid w:val="000C3DDA"/>
    <w:rsid w:val="000C68F2"/>
    <w:rsid w:val="00101A6E"/>
    <w:rsid w:val="00112628"/>
    <w:rsid w:val="00121CFA"/>
    <w:rsid w:val="001336E5"/>
    <w:rsid w:val="00142A44"/>
    <w:rsid w:val="00154FAB"/>
    <w:rsid w:val="001607A0"/>
    <w:rsid w:val="00164994"/>
    <w:rsid w:val="00171AF0"/>
    <w:rsid w:val="00172851"/>
    <w:rsid w:val="00173D7C"/>
    <w:rsid w:val="0018289A"/>
    <w:rsid w:val="0019086C"/>
    <w:rsid w:val="001A6DBD"/>
    <w:rsid w:val="001B6389"/>
    <w:rsid w:val="001B7C32"/>
    <w:rsid w:val="001D1369"/>
    <w:rsid w:val="001D25C7"/>
    <w:rsid w:val="001E7FBF"/>
    <w:rsid w:val="001F60D8"/>
    <w:rsid w:val="001F7827"/>
    <w:rsid w:val="00227C8C"/>
    <w:rsid w:val="00230B87"/>
    <w:rsid w:val="00242247"/>
    <w:rsid w:val="002873F0"/>
    <w:rsid w:val="002C6D45"/>
    <w:rsid w:val="002D01D9"/>
    <w:rsid w:val="002D3857"/>
    <w:rsid w:val="002D7E7D"/>
    <w:rsid w:val="002E07DC"/>
    <w:rsid w:val="00306CCB"/>
    <w:rsid w:val="00323A80"/>
    <w:rsid w:val="003321C2"/>
    <w:rsid w:val="00341197"/>
    <w:rsid w:val="00370B02"/>
    <w:rsid w:val="0038086E"/>
    <w:rsid w:val="00384B06"/>
    <w:rsid w:val="003A0AC9"/>
    <w:rsid w:val="003A1594"/>
    <w:rsid w:val="003A68DE"/>
    <w:rsid w:val="003A7DBE"/>
    <w:rsid w:val="003B1A9F"/>
    <w:rsid w:val="003C6BC0"/>
    <w:rsid w:val="003C7703"/>
    <w:rsid w:val="003D006A"/>
    <w:rsid w:val="003E23AC"/>
    <w:rsid w:val="00423EC3"/>
    <w:rsid w:val="00432331"/>
    <w:rsid w:val="00433BE5"/>
    <w:rsid w:val="0048707A"/>
    <w:rsid w:val="004B7038"/>
    <w:rsid w:val="004B7B30"/>
    <w:rsid w:val="004C6C49"/>
    <w:rsid w:val="00511432"/>
    <w:rsid w:val="00516792"/>
    <w:rsid w:val="005348A5"/>
    <w:rsid w:val="00535474"/>
    <w:rsid w:val="005602C4"/>
    <w:rsid w:val="005642BA"/>
    <w:rsid w:val="0057059F"/>
    <w:rsid w:val="00574BD4"/>
    <w:rsid w:val="005756B4"/>
    <w:rsid w:val="00585C19"/>
    <w:rsid w:val="0058728B"/>
    <w:rsid w:val="005A309B"/>
    <w:rsid w:val="005A6234"/>
    <w:rsid w:val="005B5478"/>
    <w:rsid w:val="005C37BB"/>
    <w:rsid w:val="005E3F75"/>
    <w:rsid w:val="005F3892"/>
    <w:rsid w:val="006133DA"/>
    <w:rsid w:val="00617228"/>
    <w:rsid w:val="00651B59"/>
    <w:rsid w:val="006710A1"/>
    <w:rsid w:val="0067759F"/>
    <w:rsid w:val="006A5AAE"/>
    <w:rsid w:val="006C5B1D"/>
    <w:rsid w:val="006C7052"/>
    <w:rsid w:val="006D5A3E"/>
    <w:rsid w:val="006E46EC"/>
    <w:rsid w:val="006E6120"/>
    <w:rsid w:val="006E6281"/>
    <w:rsid w:val="007004AA"/>
    <w:rsid w:val="00702D45"/>
    <w:rsid w:val="00717F7C"/>
    <w:rsid w:val="007231B2"/>
    <w:rsid w:val="0072338D"/>
    <w:rsid w:val="00745D96"/>
    <w:rsid w:val="00765D96"/>
    <w:rsid w:val="007B29D2"/>
    <w:rsid w:val="007C06BC"/>
    <w:rsid w:val="007C24E4"/>
    <w:rsid w:val="007C5055"/>
    <w:rsid w:val="007F0074"/>
    <w:rsid w:val="007F1F70"/>
    <w:rsid w:val="00832A75"/>
    <w:rsid w:val="00842EEC"/>
    <w:rsid w:val="008758EB"/>
    <w:rsid w:val="00881F08"/>
    <w:rsid w:val="008845E5"/>
    <w:rsid w:val="00892363"/>
    <w:rsid w:val="008A2364"/>
    <w:rsid w:val="008B6890"/>
    <w:rsid w:val="008E1094"/>
    <w:rsid w:val="008E30AD"/>
    <w:rsid w:val="008E543D"/>
    <w:rsid w:val="008F0A6E"/>
    <w:rsid w:val="008F31BF"/>
    <w:rsid w:val="00977485"/>
    <w:rsid w:val="0098459F"/>
    <w:rsid w:val="00996832"/>
    <w:rsid w:val="009A58C9"/>
    <w:rsid w:val="009A5941"/>
    <w:rsid w:val="009A66F2"/>
    <w:rsid w:val="009B0A56"/>
    <w:rsid w:val="009C3E9A"/>
    <w:rsid w:val="009C7F11"/>
    <w:rsid w:val="009E4F98"/>
    <w:rsid w:val="00A10009"/>
    <w:rsid w:val="00A2538B"/>
    <w:rsid w:val="00A33C54"/>
    <w:rsid w:val="00A725E9"/>
    <w:rsid w:val="00A73CD4"/>
    <w:rsid w:val="00A9104E"/>
    <w:rsid w:val="00A912EB"/>
    <w:rsid w:val="00A93708"/>
    <w:rsid w:val="00AA4297"/>
    <w:rsid w:val="00AC08CA"/>
    <w:rsid w:val="00AC27BB"/>
    <w:rsid w:val="00AD58B3"/>
    <w:rsid w:val="00AE6F8E"/>
    <w:rsid w:val="00AE70D0"/>
    <w:rsid w:val="00AF2AEF"/>
    <w:rsid w:val="00B0522A"/>
    <w:rsid w:val="00B131DC"/>
    <w:rsid w:val="00B30A36"/>
    <w:rsid w:val="00B4062D"/>
    <w:rsid w:val="00B42FBF"/>
    <w:rsid w:val="00B437AD"/>
    <w:rsid w:val="00B678A4"/>
    <w:rsid w:val="00B7386B"/>
    <w:rsid w:val="00B800C7"/>
    <w:rsid w:val="00BC5DD9"/>
    <w:rsid w:val="00C15B48"/>
    <w:rsid w:val="00C2652D"/>
    <w:rsid w:val="00C36072"/>
    <w:rsid w:val="00C456EF"/>
    <w:rsid w:val="00C46530"/>
    <w:rsid w:val="00C46B52"/>
    <w:rsid w:val="00C46E4A"/>
    <w:rsid w:val="00C75BF0"/>
    <w:rsid w:val="00C8719E"/>
    <w:rsid w:val="00C94236"/>
    <w:rsid w:val="00CA0581"/>
    <w:rsid w:val="00CA4514"/>
    <w:rsid w:val="00CB16F8"/>
    <w:rsid w:val="00CC258D"/>
    <w:rsid w:val="00CE1F0F"/>
    <w:rsid w:val="00CE76CE"/>
    <w:rsid w:val="00D02DBE"/>
    <w:rsid w:val="00D11314"/>
    <w:rsid w:val="00D14EF8"/>
    <w:rsid w:val="00D15426"/>
    <w:rsid w:val="00D3081B"/>
    <w:rsid w:val="00D3209A"/>
    <w:rsid w:val="00D36F95"/>
    <w:rsid w:val="00D40DAA"/>
    <w:rsid w:val="00D62794"/>
    <w:rsid w:val="00D65556"/>
    <w:rsid w:val="00D66579"/>
    <w:rsid w:val="00D723F9"/>
    <w:rsid w:val="00D93881"/>
    <w:rsid w:val="00D93C8D"/>
    <w:rsid w:val="00DC4B58"/>
    <w:rsid w:val="00DD611B"/>
    <w:rsid w:val="00DD7C65"/>
    <w:rsid w:val="00DE2597"/>
    <w:rsid w:val="00DF4A5C"/>
    <w:rsid w:val="00DF4C6B"/>
    <w:rsid w:val="00E02129"/>
    <w:rsid w:val="00E544EF"/>
    <w:rsid w:val="00E568E6"/>
    <w:rsid w:val="00E70A7F"/>
    <w:rsid w:val="00E70C1B"/>
    <w:rsid w:val="00E71E4D"/>
    <w:rsid w:val="00E75459"/>
    <w:rsid w:val="00E76A87"/>
    <w:rsid w:val="00E837E1"/>
    <w:rsid w:val="00E863D3"/>
    <w:rsid w:val="00EA5BA2"/>
    <w:rsid w:val="00EA795A"/>
    <w:rsid w:val="00ED2564"/>
    <w:rsid w:val="00ED6673"/>
    <w:rsid w:val="00EE2ED0"/>
    <w:rsid w:val="00EF3291"/>
    <w:rsid w:val="00F1015E"/>
    <w:rsid w:val="00F105D3"/>
    <w:rsid w:val="00F21E8F"/>
    <w:rsid w:val="00F2359B"/>
    <w:rsid w:val="00F413D1"/>
    <w:rsid w:val="00F5010A"/>
    <w:rsid w:val="00F50840"/>
    <w:rsid w:val="00F5278B"/>
    <w:rsid w:val="00FA2201"/>
    <w:rsid w:val="00FA4425"/>
    <w:rsid w:val="00FA4954"/>
    <w:rsid w:val="00FA5803"/>
    <w:rsid w:val="00FB4AC5"/>
    <w:rsid w:val="00FB76E1"/>
    <w:rsid w:val="00FB7F43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7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C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1"/>
    <w:rPr>
      <w:rFonts w:ascii="Tahoma" w:hAnsi="Tahoma" w:cs="Tahoma"/>
      <w:sz w:val="16"/>
      <w:szCs w:val="16"/>
    </w:rPr>
  </w:style>
  <w:style w:type="paragraph" w:customStyle="1" w:styleId="Lista1">
    <w:name w:val="Lista1"/>
    <w:basedOn w:val="Normalny"/>
    <w:qFormat/>
    <w:rsid w:val="00A93708"/>
    <w:pPr>
      <w:widowControl w:val="0"/>
      <w:numPr>
        <w:numId w:val="4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A93708"/>
    <w:pPr>
      <w:numPr>
        <w:ilvl w:val="1"/>
        <w:numId w:val="4"/>
      </w:numPr>
      <w:tabs>
        <w:tab w:val="left" w:pos="567"/>
        <w:tab w:val="left" w:pos="851"/>
      </w:tabs>
      <w:suppressAutoHyphens/>
      <w:spacing w:before="120" w:after="120"/>
      <w:jc w:val="both"/>
    </w:pPr>
    <w:rPr>
      <w:rFonts w:eastAsia="CIDFont+F5" w:cs="Arial"/>
      <w:bCs/>
      <w:szCs w:val="24"/>
      <w:lang w:eastAsia="ar-SA"/>
    </w:rPr>
  </w:style>
  <w:style w:type="character" w:customStyle="1" w:styleId="Lista2Znak">
    <w:name w:val="Lista2 Znak"/>
    <w:link w:val="Lista2"/>
    <w:rsid w:val="00A93708"/>
    <w:rPr>
      <w:rFonts w:eastAsia="CIDFont+F5" w:cs="Arial"/>
      <w:bCs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65D9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65D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78B"/>
  </w:style>
  <w:style w:type="paragraph" w:styleId="Stopka">
    <w:name w:val="footer"/>
    <w:basedOn w:val="Normalny"/>
    <w:link w:val="Stopka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78B"/>
  </w:style>
  <w:style w:type="character" w:customStyle="1" w:styleId="Nagwek1Znak">
    <w:name w:val="Nagłówek 1 Znak"/>
    <w:basedOn w:val="Domylnaczcionkaakapitu"/>
    <w:link w:val="Nagwek1"/>
    <w:uiPriority w:val="9"/>
    <w:rsid w:val="00DD7C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7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C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1"/>
    <w:rPr>
      <w:rFonts w:ascii="Tahoma" w:hAnsi="Tahoma" w:cs="Tahoma"/>
      <w:sz w:val="16"/>
      <w:szCs w:val="16"/>
    </w:rPr>
  </w:style>
  <w:style w:type="paragraph" w:customStyle="1" w:styleId="Lista1">
    <w:name w:val="Lista1"/>
    <w:basedOn w:val="Normalny"/>
    <w:qFormat/>
    <w:rsid w:val="00A93708"/>
    <w:pPr>
      <w:widowControl w:val="0"/>
      <w:numPr>
        <w:numId w:val="4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A93708"/>
    <w:pPr>
      <w:numPr>
        <w:ilvl w:val="1"/>
        <w:numId w:val="4"/>
      </w:numPr>
      <w:tabs>
        <w:tab w:val="left" w:pos="567"/>
        <w:tab w:val="left" w:pos="851"/>
      </w:tabs>
      <w:suppressAutoHyphens/>
      <w:spacing w:before="120" w:after="120"/>
      <w:jc w:val="both"/>
    </w:pPr>
    <w:rPr>
      <w:rFonts w:eastAsia="CIDFont+F5" w:cs="Arial"/>
      <w:bCs/>
      <w:szCs w:val="24"/>
      <w:lang w:eastAsia="ar-SA"/>
    </w:rPr>
  </w:style>
  <w:style w:type="character" w:customStyle="1" w:styleId="Lista2Znak">
    <w:name w:val="Lista2 Znak"/>
    <w:link w:val="Lista2"/>
    <w:rsid w:val="00A93708"/>
    <w:rPr>
      <w:rFonts w:eastAsia="CIDFont+F5" w:cs="Arial"/>
      <w:bCs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65D9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65D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78B"/>
  </w:style>
  <w:style w:type="paragraph" w:styleId="Stopka">
    <w:name w:val="footer"/>
    <w:basedOn w:val="Normalny"/>
    <w:link w:val="StopkaZnak"/>
    <w:uiPriority w:val="99"/>
    <w:unhideWhenUsed/>
    <w:rsid w:val="00F5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78B"/>
  </w:style>
  <w:style w:type="character" w:customStyle="1" w:styleId="Nagwek1Znak">
    <w:name w:val="Nagłówek 1 Znak"/>
    <w:basedOn w:val="Domylnaczcionkaakapitu"/>
    <w:link w:val="Nagwek1"/>
    <w:uiPriority w:val="9"/>
    <w:rsid w:val="00DD7C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D1E7-4A58-42C5-ADEF-72356C55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ksiwy</cp:lastModifiedBy>
  <cp:revision>13</cp:revision>
  <cp:lastPrinted>2021-10-19T06:30:00Z</cp:lastPrinted>
  <dcterms:created xsi:type="dcterms:W3CDTF">2021-10-19T10:22:00Z</dcterms:created>
  <dcterms:modified xsi:type="dcterms:W3CDTF">2021-10-21T09:50:00Z</dcterms:modified>
</cp:coreProperties>
</file>