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74F11F57" w:rsidR="00D36BAE" w:rsidRPr="00D36BAE" w:rsidRDefault="000850D6" w:rsidP="008C4CDC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Pr="000850D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2021r.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3C536D94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8C4CDC">
        <w:rPr>
          <w:rStyle w:val="Teksttreci410ptBezpogrubienia"/>
          <w:rFonts w:asciiTheme="minorHAnsi" w:eastAsia="Arial Unicode MS" w:hAnsiTheme="minorHAnsi"/>
          <w:sz w:val="24"/>
          <w:szCs w:val="24"/>
        </w:rPr>
        <w:t>po</w:t>
      </w:r>
      <w:r w:rsid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legające na 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Ulepszenie nawierzchni dróg gminnych w gminie Mieszkowice”</w:t>
      </w:r>
    </w:p>
    <w:p w14:paraId="5EA66836" w14:textId="7559D58B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D55CB7" w:rsidRPr="00D55CB7">
        <w:rPr>
          <w:rFonts w:asciiTheme="minorHAnsi" w:hAnsiTheme="minorHAnsi"/>
        </w:rPr>
        <w:t xml:space="preserve">Zamówienie obejmuje przebudowę drogi gminnej w miejscowości Kłosów, na działce </w:t>
      </w:r>
      <w:r w:rsidR="00D55CB7">
        <w:rPr>
          <w:rFonts w:asciiTheme="minorHAnsi" w:hAnsiTheme="minorHAnsi"/>
        </w:rPr>
        <w:br/>
      </w:r>
      <w:r w:rsidR="00D55CB7" w:rsidRPr="00D55CB7">
        <w:rPr>
          <w:rFonts w:asciiTheme="minorHAnsi" w:hAnsiTheme="minorHAnsi"/>
        </w:rPr>
        <w:t xml:space="preserve">nr </w:t>
      </w:r>
      <w:proofErr w:type="spellStart"/>
      <w:r w:rsidR="00D55CB7" w:rsidRPr="00D55CB7">
        <w:rPr>
          <w:rFonts w:asciiTheme="minorHAnsi" w:hAnsiTheme="minorHAnsi"/>
        </w:rPr>
        <w:t>ewid</w:t>
      </w:r>
      <w:proofErr w:type="spellEnd"/>
      <w:r w:rsidR="00D55CB7" w:rsidRPr="00D55CB7">
        <w:rPr>
          <w:rFonts w:asciiTheme="minorHAnsi" w:hAnsiTheme="minorHAnsi"/>
        </w:rPr>
        <w:t xml:space="preserve">. 885/2, obręb Kłosów oraz przebudowę drogi gminnej w miejscowości Sitno, na działkach o nr </w:t>
      </w:r>
      <w:proofErr w:type="spellStart"/>
      <w:r w:rsidR="00D55CB7" w:rsidRPr="00D55CB7">
        <w:rPr>
          <w:rFonts w:asciiTheme="minorHAnsi" w:hAnsiTheme="minorHAnsi"/>
        </w:rPr>
        <w:t>ewid</w:t>
      </w:r>
      <w:proofErr w:type="spellEnd"/>
      <w:r w:rsidR="00D55CB7" w:rsidRPr="00D55CB7">
        <w:rPr>
          <w:rFonts w:asciiTheme="minorHAnsi" w:hAnsiTheme="minorHAnsi"/>
        </w:rPr>
        <w:t>. 29/2, 29/4  obręb Sitno.</w:t>
      </w:r>
      <w:r w:rsidR="00D55CB7">
        <w:rPr>
          <w:rFonts w:asciiTheme="minorHAnsi" w:hAnsiTheme="minorHAnsi"/>
        </w:rPr>
        <w:t xml:space="preserve"> 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przebudowę nawierzchni jezdni, budowę poboczy gruntowych, re</w:t>
      </w:r>
      <w:r w:rsidR="00D55CB7">
        <w:rPr>
          <w:rFonts w:ascii="Calibri" w:eastAsia="Calibri" w:hAnsi="Calibri"/>
          <w:color w:val="auto"/>
          <w:lang w:eastAsia="en-US" w:bidi="ar-SA"/>
        </w:rPr>
        <w:t xml:space="preserve">gulację urządzeń infrastruktury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podziemnej,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198F88E6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rojekty zgłoszeń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 xml:space="preserve">a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14D77F9C" w:rsidR="00855BC3" w:rsidRPr="00D13EE3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FF0000"/>
          <w:sz w:val="24"/>
          <w:szCs w:val="24"/>
        </w:rPr>
      </w:pPr>
      <w:r w:rsidRPr="00D13EE3">
        <w:rPr>
          <w:rFonts w:asciiTheme="minorHAnsi" w:hAnsiTheme="minorHAnsi"/>
          <w:color w:val="FF0000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D13EE3" w:rsidRPr="00D13EE3">
        <w:rPr>
          <w:rFonts w:asciiTheme="minorHAnsi" w:hAnsiTheme="minorHAnsi"/>
          <w:b/>
          <w:color w:val="FF0000"/>
          <w:sz w:val="24"/>
          <w:szCs w:val="24"/>
        </w:rPr>
        <w:t>21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 </w:t>
      </w:r>
      <w:r w:rsidRPr="00D13EE3">
        <w:rPr>
          <w:rFonts w:asciiTheme="minorHAnsi" w:hAnsiTheme="minorHAnsi"/>
          <w:color w:val="FF0000"/>
          <w:sz w:val="24"/>
          <w:szCs w:val="24"/>
        </w:rPr>
        <w:t>od dnia doręczenia faktury lub rachunku,</w:t>
      </w:r>
      <w:r w:rsidR="001B6025" w:rsidRPr="00D13EE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D13EE3">
        <w:rPr>
          <w:rFonts w:asciiTheme="minorHAnsi" w:hAnsiTheme="minorHAnsi"/>
          <w:color w:val="FF0000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334EF20A" w:rsidR="00855BC3" w:rsidRPr="00D13EE3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FF0000"/>
          <w:sz w:val="24"/>
          <w:szCs w:val="24"/>
        </w:rPr>
      </w:pPr>
      <w:r w:rsidRPr="00D13EE3">
        <w:rPr>
          <w:rFonts w:asciiTheme="minorHAnsi" w:hAnsiTheme="minorHAnsi"/>
          <w:color w:val="FF0000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3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-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dniowym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wyprzedzeniem. </w:t>
      </w:r>
      <w:r w:rsidR="00D13EE3" w:rsidRPr="00D13EE3">
        <w:rPr>
          <w:rFonts w:asciiTheme="minorHAnsi" w:hAnsiTheme="minorHAnsi"/>
          <w:color w:val="FF0000"/>
          <w:sz w:val="24"/>
          <w:szCs w:val="24"/>
        </w:rPr>
        <w:t>Brak zastrzeżeń Zam</w:t>
      </w:r>
      <w:r w:rsidR="005B6291">
        <w:rPr>
          <w:rFonts w:asciiTheme="minorHAnsi" w:hAnsiTheme="minorHAnsi"/>
          <w:color w:val="FF0000"/>
          <w:sz w:val="24"/>
          <w:szCs w:val="24"/>
        </w:rPr>
        <w:t>awiającego przesłanych w ciągu 2</w:t>
      </w:r>
      <w:r w:rsidR="00D13EE3" w:rsidRPr="00D13EE3">
        <w:rPr>
          <w:rFonts w:asciiTheme="minorHAnsi" w:hAnsiTheme="minorHAnsi"/>
          <w:color w:val="FF0000"/>
          <w:sz w:val="24"/>
          <w:szCs w:val="24"/>
        </w:rPr>
        <w:t xml:space="preserve"> dni od otrzymania zgłoszenia oznacza zgodę Zamawiającego.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Bez zgody Zamawiającego, Wykonawca nie może umożliwić Podwykonawcy wejścia na teren budowy </w:t>
      </w:r>
      <w:bookmarkStart w:id="0" w:name="_GoBack"/>
      <w:bookmarkEnd w:id="0"/>
      <w:r w:rsidRPr="00D13EE3">
        <w:rPr>
          <w:rFonts w:asciiTheme="minorHAnsi" w:hAnsiTheme="minorHAnsi"/>
          <w:color w:val="FF0000"/>
          <w:sz w:val="24"/>
          <w:szCs w:val="24"/>
        </w:rPr>
        <w:t>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a)geodezyjną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>zagospodarowania terenu budowy i zaplecza socjalnego dla potrzeb własnych – zgodnie z obowiązującymi, w tym zakresie przepisami  oraz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>dostarczania Zamawiającemu dokumentów potwierdzających dopuszczenie do obrotu i powszechnego stosowania w budownictwie wszystkich materiałów użytych do realizacji przedmiotu zamówienia  –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5EF7A304" w:rsidR="006D123C" w:rsidRPr="00681F8D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FF0000"/>
        </w:rPr>
      </w:pPr>
      <w:r w:rsidRPr="00681F8D">
        <w:rPr>
          <w:rFonts w:asciiTheme="minorHAnsi" w:hAnsiTheme="minorHAnsi"/>
          <w:color w:val="FF0000"/>
        </w:rPr>
        <w:t>m)</w:t>
      </w:r>
      <w:r w:rsidRPr="00681F8D">
        <w:rPr>
          <w:rFonts w:asciiTheme="minorHAnsi" w:hAnsiTheme="minorHAnsi"/>
          <w:color w:val="FF0000"/>
        </w:rPr>
        <w:tab/>
        <w:t xml:space="preserve">utrzymania i ponoszenia odpowiedzialności za wybudowane obiekty do </w:t>
      </w:r>
      <w:r w:rsidR="00681F8D" w:rsidRPr="00681F8D">
        <w:rPr>
          <w:rFonts w:asciiTheme="minorHAnsi" w:hAnsiTheme="minorHAnsi"/>
          <w:color w:val="FF0000"/>
        </w:rPr>
        <w:t xml:space="preserve">czasu bezusterkowego odbioru końcowego zadania. </w:t>
      </w:r>
    </w:p>
    <w:p w14:paraId="0B072CA3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n) Materiały pozyskane z rozbiórki jezdni i chodników nadające się do ponownego wbudowania, Wykonawca winien dostarczyć w miejsce wskazane przez Zamawiającego, uwzględniając koszt powyższego transportu w ofercie cenowej. Pozyskane materiały drogowe mogą też być wykorzystane w ramach prowadzonej inwestycji, po uzyskaniu akceptacji inspektora nadzoru;</w:t>
      </w:r>
    </w:p>
    <w:p w14:paraId="2D48295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o)</w:t>
      </w:r>
      <w:r w:rsidRPr="006D123C">
        <w:rPr>
          <w:rFonts w:asciiTheme="minorHAnsi" w:hAnsiTheme="minorHAnsi"/>
          <w:color w:val="auto"/>
        </w:rPr>
        <w:tab/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</w:t>
      </w:r>
      <w:r w:rsidRPr="006D123C">
        <w:rPr>
          <w:rFonts w:asciiTheme="minorHAnsi" w:hAnsiTheme="minorHAnsi"/>
          <w:color w:val="auto"/>
        </w:rPr>
        <w:lastRenderedPageBreak/>
        <w:t>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6186AFFC" w14:textId="1C6FFB91" w:rsidR="00532F9F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p)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rozporządzenia </w:t>
      </w:r>
      <w:r w:rsidR="00F25EBA" w:rsidRPr="00F25EBA">
        <w:rPr>
          <w:rFonts w:asciiTheme="minorHAnsi" w:hAnsiTheme="minorHAnsi"/>
          <w:color w:val="auto"/>
        </w:rPr>
        <w:t xml:space="preserve">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1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1"/>
    </w:p>
    <w:p w14:paraId="74C4E1DE" w14:textId="39A51214" w:rsidR="00AF3ADC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5D35C81D" w14:textId="1292479A" w:rsidR="00681F8D" w:rsidRPr="00681F8D" w:rsidRDefault="00681F8D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FF0000"/>
        </w:rPr>
      </w:pPr>
      <w:r w:rsidRPr="00681F8D">
        <w:rPr>
          <w:rFonts w:asciiTheme="minorHAnsi" w:eastAsia="Times New Roman" w:hAnsiTheme="minorHAnsi" w:cs="Times New Roman"/>
          <w:color w:val="FF0000"/>
        </w:rPr>
        <w:t xml:space="preserve">Zamawiający przekazuje Wykonawcy teren budowy w terminie do 14 dni od dnia podpisania umowy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1A1E413F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</w:t>
      </w:r>
      <w:r w:rsidR="00681F8D">
        <w:rPr>
          <w:rFonts w:asciiTheme="minorHAnsi" w:eastAsia="Times New Roman" w:hAnsiTheme="minorHAnsi" w:cs="Times New Roman"/>
          <w:color w:val="auto"/>
        </w:rPr>
        <w:t>. 3</w:t>
      </w:r>
      <w:r w:rsidRPr="00A77FDF">
        <w:rPr>
          <w:rFonts w:asciiTheme="minorHAnsi" w:eastAsia="Times New Roman" w:hAnsiTheme="minorHAnsi" w:cs="Times New Roman"/>
          <w:color w:val="auto"/>
        </w:rPr>
        <w:t>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2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2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440DDD27" w14:textId="10D1AA1A" w:rsidR="00572B92" w:rsidRPr="00681F8D" w:rsidRDefault="00572B92" w:rsidP="00572B9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FF0000"/>
        </w:rPr>
      </w:pPr>
      <w:r w:rsidRPr="00681F8D">
        <w:rPr>
          <w:rFonts w:asciiTheme="minorHAnsi" w:hAnsiTheme="minorHAnsi"/>
          <w:color w:val="FF0000"/>
        </w:rPr>
        <w:t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stanowiła kwotę 2% wynagrodzenia brutto wskazanego w §9 ust. 1  i stanowić będzie wkład własny Zamawiającego w związku z dofinansowaniem inwestycji z Programu Rządowy Fundusz Polski Ład: Program Inwestycji Strategicznych. Wysokość kwoty zaliczki zależeć będzie od wysokości wynagrodzenia wykonawcy wskazanego w ust. §9 ust. 1  wynikającego ze złożonej oferty) oraz na podstawie faktury końcowej.</w:t>
      </w:r>
    </w:p>
    <w:p w14:paraId="16C4BACE" w14:textId="28888F50" w:rsidR="00172F1F" w:rsidRPr="00455464" w:rsidRDefault="00572B92" w:rsidP="00455464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Strategicznych.</w:t>
      </w:r>
      <w:r w:rsidR="00172F1F" w:rsidRPr="00455464">
        <w:rPr>
          <w:rFonts w:asciiTheme="minorHAnsi" w:hAnsiTheme="minorHAnsi"/>
          <w:color w:val="auto"/>
        </w:rPr>
        <w:t xml:space="preserve"> 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celu zapewnienia wykonania umowy - może zlecić dokończenie prac innemu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3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3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7148239F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5F43A6" w:rsidRPr="000850D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 w:rsidR="00B9755C" w:rsidRPr="00B9755C">
        <w:t xml:space="preserve">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67457D22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5F43A6">
        <w:rPr>
          <w:rFonts w:asciiTheme="minorHAnsi" w:hAnsiTheme="minorHAnsi"/>
          <w:sz w:val="24"/>
          <w:szCs w:val="24"/>
        </w:rPr>
        <w:t>najmniej 1.0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18B64C44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t xml:space="preserve"> 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Ulepszenie nawierzchni dróg gminnych w gminie Mieszkowice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5F43A6">
        <w:rPr>
          <w:rFonts w:asciiTheme="minorHAnsi" w:hAnsiTheme="minorHAnsi"/>
        </w:rPr>
        <w:t>niż 1.0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1EE212BB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5F43A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za każdy następny rozpoczęty dzień zwłoki - 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od </w:t>
      </w:r>
      <w:r w:rsidRPr="00A77FDF">
        <w:rPr>
          <w:rFonts w:asciiTheme="minorHAnsi" w:hAnsiTheme="minorHAnsi"/>
          <w:sz w:val="24"/>
          <w:szCs w:val="24"/>
        </w:rPr>
        <w:t xml:space="preserve"> umowy,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5677620A" w:rsidR="00855BC3" w:rsidRPr="00681F8D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681F8D">
        <w:rPr>
          <w:rFonts w:asciiTheme="minorHAnsi" w:hAnsiTheme="minorHAnsi"/>
          <w:color w:val="FF0000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10AFB7B6" w:rsidR="00855BC3" w:rsidRPr="00A77FDF" w:rsidRDefault="00681F8D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681F8D">
        <w:rPr>
          <w:rFonts w:asciiTheme="minorHAnsi" w:hAnsiTheme="minorHAnsi"/>
          <w:color w:val="FF0000"/>
          <w:sz w:val="24"/>
          <w:szCs w:val="24"/>
        </w:rPr>
        <w:t>gdy Wykonawca pozostaje w zwłoce z</w:t>
      </w:r>
      <w:r w:rsidR="005B7666" w:rsidRPr="00681F8D">
        <w:rPr>
          <w:rFonts w:asciiTheme="minorHAnsi" w:hAnsiTheme="minorHAnsi"/>
          <w:color w:val="FF0000"/>
          <w:sz w:val="24"/>
          <w:szCs w:val="24"/>
        </w:rPr>
        <w:t xml:space="preserve"> rozpoczęciem robót dłużej niż 7 dni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>Ponadto w przypadkach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7777777"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681F8D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71E8D8BE" w14:textId="3804D546" w:rsidR="00681F8D" w:rsidRPr="001533ED" w:rsidRDefault="001533ED" w:rsidP="001533E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1533ED">
        <w:rPr>
          <w:rFonts w:asciiTheme="minorHAnsi" w:hAnsiTheme="minorHAnsi"/>
          <w:color w:val="FF0000"/>
          <w:sz w:val="24"/>
          <w:szCs w:val="24"/>
        </w:rPr>
        <w:t>Wystąpią inne niezależne od stron i niedające się przewidzieć okoliczności wpływające na terminowe wykonanie umowy, w tym: w</w:t>
      </w:r>
      <w:r w:rsidR="00681F8D" w:rsidRPr="001533ED">
        <w:rPr>
          <w:rFonts w:asciiTheme="minorHAnsi" w:hAnsiTheme="minorHAnsi"/>
          <w:color w:val="FF0000"/>
          <w:sz w:val="24"/>
          <w:szCs w:val="24"/>
        </w:rPr>
        <w:t>ystąpi konieczność usunięcia niewybuchów</w:t>
      </w:r>
      <w:r w:rsidRPr="001533ED">
        <w:rPr>
          <w:rFonts w:asciiTheme="minorHAnsi" w:hAnsiTheme="minorHAnsi"/>
          <w:color w:val="FF0000"/>
          <w:sz w:val="24"/>
          <w:szCs w:val="24"/>
        </w:rPr>
        <w:t xml:space="preserve"> lub niewypałów z terenu budowy, w</w:t>
      </w:r>
      <w:r w:rsidR="00681F8D" w:rsidRPr="001533ED">
        <w:rPr>
          <w:rFonts w:asciiTheme="minorHAnsi" w:hAnsiTheme="minorHAnsi"/>
          <w:color w:val="FF0000"/>
          <w:sz w:val="24"/>
          <w:szCs w:val="24"/>
        </w:rPr>
        <w:t>ystąpi konieczność prowadzenia badań ar</w:t>
      </w:r>
      <w:r w:rsidRPr="001533ED">
        <w:rPr>
          <w:rFonts w:asciiTheme="minorHAnsi" w:hAnsiTheme="minorHAnsi"/>
          <w:color w:val="FF0000"/>
          <w:sz w:val="24"/>
          <w:szCs w:val="24"/>
        </w:rPr>
        <w:t>cheologicznych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zmiany technologiczne, w szczególności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2D860D6E" w:rsidR="00165E53" w:rsidRPr="006524A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6524A3">
        <w:rPr>
          <w:rFonts w:asciiTheme="minorHAnsi" w:hAnsiTheme="minorHAnsi"/>
          <w:color w:val="FF0000"/>
          <w:sz w:val="24"/>
          <w:szCs w:val="24"/>
        </w:rPr>
        <w:t>W przypadku zaistnienia rozbieżności pomiędzy harmonogramem rzeczowo-finansowym robót i rzeczywistym terminem realizacji przedmiotu umowy, Wykonawca j</w:t>
      </w:r>
      <w:r w:rsidR="001533ED" w:rsidRPr="006524A3">
        <w:rPr>
          <w:rFonts w:asciiTheme="minorHAnsi" w:hAnsiTheme="minorHAnsi"/>
          <w:color w:val="FF0000"/>
          <w:sz w:val="24"/>
          <w:szCs w:val="24"/>
        </w:rPr>
        <w:t xml:space="preserve">est zobowiązany do </w:t>
      </w:r>
      <w:r w:rsidRPr="006524A3">
        <w:rPr>
          <w:rFonts w:asciiTheme="minorHAnsi" w:hAnsiTheme="minorHAnsi"/>
          <w:color w:val="FF0000"/>
          <w:sz w:val="24"/>
          <w:szCs w:val="24"/>
        </w:rPr>
        <w:t xml:space="preserve"> udzielenia</w:t>
      </w:r>
      <w:r w:rsidR="00246C26">
        <w:rPr>
          <w:rFonts w:asciiTheme="minorHAnsi" w:hAnsiTheme="minorHAnsi"/>
          <w:color w:val="FF0000"/>
          <w:sz w:val="24"/>
          <w:szCs w:val="24"/>
        </w:rPr>
        <w:t xml:space="preserve"> Zamawiającemu</w:t>
      </w:r>
      <w:r w:rsidR="001533ED" w:rsidRPr="006524A3">
        <w:rPr>
          <w:rFonts w:asciiTheme="minorHAnsi" w:hAnsiTheme="minorHAnsi"/>
          <w:color w:val="FF0000"/>
          <w:sz w:val="24"/>
          <w:szCs w:val="24"/>
        </w:rPr>
        <w:t xml:space="preserve"> w terminie 7 dni od wezwania, pisemnych wyjaśnień. </w:t>
      </w:r>
      <w:r w:rsidRPr="006524A3">
        <w:rPr>
          <w:rFonts w:asciiTheme="minorHAnsi" w:hAnsiTheme="minorHAnsi"/>
          <w:color w:val="FF0000"/>
          <w:sz w:val="24"/>
          <w:szCs w:val="24"/>
        </w:rPr>
        <w:t>W przypadku wyrażenia przez Zamawiającego zgody na aktualizację harmonogramu, w formie pisemnej pod rygorem nieważności, Wykonaw</w:t>
      </w:r>
      <w:r w:rsidR="001533ED" w:rsidRPr="006524A3">
        <w:rPr>
          <w:rFonts w:asciiTheme="minorHAnsi" w:hAnsiTheme="minorHAnsi"/>
          <w:color w:val="FF0000"/>
          <w:sz w:val="24"/>
          <w:szCs w:val="24"/>
        </w:rPr>
        <w:t xml:space="preserve">ca niezwłocznie dokonuje zmiany </w:t>
      </w:r>
      <w:r w:rsidRPr="006524A3">
        <w:rPr>
          <w:rFonts w:asciiTheme="minorHAnsi" w:hAnsiTheme="minorHAnsi"/>
          <w:color w:val="FF0000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95AF" w14:textId="77777777" w:rsidR="00E4148B" w:rsidRDefault="00E4148B">
      <w:r>
        <w:separator/>
      </w:r>
    </w:p>
  </w:endnote>
  <w:endnote w:type="continuationSeparator" w:id="0">
    <w:p w14:paraId="294E6DC3" w14:textId="77777777" w:rsidR="00E4148B" w:rsidRDefault="00E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979F" w14:textId="77777777" w:rsidR="00E4148B" w:rsidRDefault="00E4148B"/>
  </w:footnote>
  <w:footnote w:type="continuationSeparator" w:id="0">
    <w:p w14:paraId="4A81E3EB" w14:textId="77777777" w:rsidR="00E4148B" w:rsidRDefault="00E41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4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4"/>
  </w:num>
  <w:num w:numId="4">
    <w:abstractNumId w:val="15"/>
  </w:num>
  <w:num w:numId="5">
    <w:abstractNumId w:val="3"/>
  </w:num>
  <w:num w:numId="6">
    <w:abstractNumId w:val="5"/>
  </w:num>
  <w:num w:numId="7">
    <w:abstractNumId w:val="45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30"/>
  </w:num>
  <w:num w:numId="13">
    <w:abstractNumId w:val="7"/>
  </w:num>
  <w:num w:numId="14">
    <w:abstractNumId w:val="13"/>
  </w:num>
  <w:num w:numId="15">
    <w:abstractNumId w:val="26"/>
  </w:num>
  <w:num w:numId="16">
    <w:abstractNumId w:val="23"/>
  </w:num>
  <w:num w:numId="17">
    <w:abstractNumId w:val="36"/>
  </w:num>
  <w:num w:numId="18">
    <w:abstractNumId w:val="25"/>
  </w:num>
  <w:num w:numId="19">
    <w:abstractNumId w:val="32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47"/>
  </w:num>
  <w:num w:numId="25">
    <w:abstractNumId w:val="14"/>
  </w:num>
  <w:num w:numId="26">
    <w:abstractNumId w:val="34"/>
  </w:num>
  <w:num w:numId="27">
    <w:abstractNumId w:val="29"/>
  </w:num>
  <w:num w:numId="28">
    <w:abstractNumId w:val="4"/>
  </w:num>
  <w:num w:numId="29">
    <w:abstractNumId w:val="31"/>
  </w:num>
  <w:num w:numId="30">
    <w:abstractNumId w:val="10"/>
  </w:num>
  <w:num w:numId="31">
    <w:abstractNumId w:val="46"/>
  </w:num>
  <w:num w:numId="32">
    <w:abstractNumId w:val="39"/>
  </w:num>
  <w:num w:numId="33">
    <w:abstractNumId w:val="28"/>
  </w:num>
  <w:num w:numId="34">
    <w:abstractNumId w:val="16"/>
  </w:num>
  <w:num w:numId="35">
    <w:abstractNumId w:val="38"/>
  </w:num>
  <w:num w:numId="36">
    <w:abstractNumId w:val="24"/>
  </w:num>
  <w:num w:numId="37">
    <w:abstractNumId w:val="17"/>
  </w:num>
  <w:num w:numId="38">
    <w:abstractNumId w:val="35"/>
  </w:num>
  <w:num w:numId="39">
    <w:abstractNumId w:val="0"/>
  </w:num>
  <w:num w:numId="40">
    <w:abstractNumId w:val="18"/>
  </w:num>
  <w:num w:numId="41">
    <w:abstractNumId w:val="33"/>
  </w:num>
  <w:num w:numId="42">
    <w:abstractNumId w:val="43"/>
  </w:num>
  <w:num w:numId="43">
    <w:abstractNumId w:val="20"/>
  </w:num>
  <w:num w:numId="44">
    <w:abstractNumId w:val="42"/>
  </w:num>
  <w:num w:numId="45">
    <w:abstractNumId w:val="9"/>
  </w:num>
  <w:num w:numId="46">
    <w:abstractNumId w:val="1"/>
  </w:num>
  <w:num w:numId="47">
    <w:abstractNumId w:val="27"/>
  </w:num>
  <w:num w:numId="4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2FA7"/>
    <w:rsid w:val="00122BC6"/>
    <w:rsid w:val="00127ECF"/>
    <w:rsid w:val="00131832"/>
    <w:rsid w:val="00151941"/>
    <w:rsid w:val="001533ED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26"/>
    <w:rsid w:val="00246C97"/>
    <w:rsid w:val="00251763"/>
    <w:rsid w:val="00262570"/>
    <w:rsid w:val="002645DF"/>
    <w:rsid w:val="00267294"/>
    <w:rsid w:val="00277BA6"/>
    <w:rsid w:val="00280A71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6291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24A3"/>
    <w:rsid w:val="00656497"/>
    <w:rsid w:val="00657781"/>
    <w:rsid w:val="00681F8D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806AC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868F6"/>
    <w:rsid w:val="00B9755C"/>
    <w:rsid w:val="00BA09C0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C256A"/>
    <w:rsid w:val="00CC64B6"/>
    <w:rsid w:val="00CD4C1E"/>
    <w:rsid w:val="00CE7FE4"/>
    <w:rsid w:val="00CF3261"/>
    <w:rsid w:val="00CF372D"/>
    <w:rsid w:val="00D00390"/>
    <w:rsid w:val="00D11FE8"/>
    <w:rsid w:val="00D13EE3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48B"/>
    <w:rsid w:val="00E41593"/>
    <w:rsid w:val="00E43A0F"/>
    <w:rsid w:val="00E4521A"/>
    <w:rsid w:val="00E575BE"/>
    <w:rsid w:val="00E57D6C"/>
    <w:rsid w:val="00E74F14"/>
    <w:rsid w:val="00EB1CCA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17</Pages>
  <Words>6800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82</cp:revision>
  <cp:lastPrinted>2022-01-11T12:26:00Z</cp:lastPrinted>
  <dcterms:created xsi:type="dcterms:W3CDTF">2020-10-05T06:25:00Z</dcterms:created>
  <dcterms:modified xsi:type="dcterms:W3CDTF">2023-01-30T10:24:00Z</dcterms:modified>
</cp:coreProperties>
</file>