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F1E5F4" w14:textId="2D6F09DB" w:rsidR="00854B28" w:rsidRPr="00B051E9" w:rsidRDefault="00854B28" w:rsidP="00854B28">
      <w:pPr>
        <w:spacing w:line="360" w:lineRule="auto"/>
        <w:jc w:val="right"/>
        <w:rPr>
          <w:rFonts w:ascii="Bahnschrift" w:hAnsi="Bahnschrift" w:cs="Arial"/>
          <w:sz w:val="20"/>
          <w:szCs w:val="18"/>
        </w:rPr>
      </w:pPr>
      <w:r w:rsidRPr="00B051E9">
        <w:rPr>
          <w:rFonts w:ascii="Bahnschrift" w:hAnsi="Bahnschrift" w:cs="Arial"/>
          <w:sz w:val="20"/>
          <w:szCs w:val="18"/>
        </w:rPr>
        <w:t xml:space="preserve">Załącznik </w:t>
      </w:r>
      <w:r>
        <w:rPr>
          <w:rFonts w:ascii="Bahnschrift" w:hAnsi="Bahnschrift" w:cs="Arial"/>
          <w:sz w:val="20"/>
          <w:szCs w:val="18"/>
        </w:rPr>
        <w:t>2</w:t>
      </w:r>
      <w:r w:rsidRPr="00B051E9">
        <w:rPr>
          <w:rFonts w:ascii="Bahnschrift" w:hAnsi="Bahnschrift" w:cs="Arial"/>
          <w:sz w:val="20"/>
          <w:szCs w:val="18"/>
        </w:rPr>
        <w:t xml:space="preserve"> do SWZ DZP</w:t>
      </w:r>
      <w:r>
        <w:rPr>
          <w:rFonts w:ascii="Bahnschrift" w:hAnsi="Bahnschrift" w:cs="Arial"/>
          <w:sz w:val="20"/>
          <w:szCs w:val="18"/>
        </w:rPr>
        <w:t>.382.2.53.2024</w:t>
      </w:r>
    </w:p>
    <w:p w14:paraId="74547040" w14:textId="77777777" w:rsidR="00BC0856" w:rsidRDefault="00BC0856" w:rsidP="00BC0856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pl-PL"/>
        </w:rPr>
      </w:pPr>
    </w:p>
    <w:p w14:paraId="6663364B" w14:textId="3BE6E387" w:rsidR="00BC0856" w:rsidRDefault="001F59F9" w:rsidP="001F59F9">
      <w:pPr>
        <w:spacing w:after="0" w:line="240" w:lineRule="auto"/>
        <w:jc w:val="center"/>
        <w:rPr>
          <w:rFonts w:ascii="Bahnschrift" w:eastAsia="Times New Roman" w:hAnsi="Bahnschrift" w:cs="Arial"/>
          <w:b/>
          <w:bCs/>
          <w:lang w:eastAsia="pl-PL"/>
        </w:rPr>
      </w:pPr>
      <w:r w:rsidRPr="001F59F9">
        <w:rPr>
          <w:rFonts w:ascii="Bahnschrift" w:eastAsia="Times New Roman" w:hAnsi="Bahnschrift" w:cs="Arial"/>
          <w:b/>
          <w:bCs/>
          <w:lang w:eastAsia="pl-PL"/>
        </w:rPr>
        <w:t>C</w:t>
      </w:r>
      <w:r w:rsidR="00BC0856" w:rsidRPr="001F59F9">
        <w:rPr>
          <w:rFonts w:ascii="Bahnschrift" w:eastAsia="Times New Roman" w:hAnsi="Bahnschrift" w:cs="Arial"/>
          <w:b/>
          <w:bCs/>
          <w:lang w:eastAsia="pl-PL"/>
        </w:rPr>
        <w:t>hromatograf cieczowy Flash z detektorem UV-VIS oraz kolektorem frakcji</w:t>
      </w:r>
    </w:p>
    <w:p w14:paraId="23B39613" w14:textId="3B911D30" w:rsidR="00854B28" w:rsidRDefault="00854B28" w:rsidP="001F59F9">
      <w:pPr>
        <w:spacing w:after="0" w:line="240" w:lineRule="auto"/>
        <w:jc w:val="center"/>
        <w:rPr>
          <w:rFonts w:ascii="Bahnschrift" w:eastAsia="Times New Roman" w:hAnsi="Bahnschrift" w:cs="Times New Roman"/>
          <w:b/>
          <w:szCs w:val="24"/>
          <w:lang w:eastAsia="pl-PL"/>
        </w:rPr>
      </w:pPr>
    </w:p>
    <w:p w14:paraId="313DF895" w14:textId="77777777" w:rsidR="00854B28" w:rsidRDefault="00854B28" w:rsidP="00854B28">
      <w:pPr>
        <w:spacing w:line="360" w:lineRule="auto"/>
        <w:jc w:val="center"/>
        <w:rPr>
          <w:rFonts w:ascii="Bahnschrift" w:hAnsi="Bahnschrift" w:cs="Arial"/>
          <w:b/>
          <w:sz w:val="20"/>
          <w:szCs w:val="18"/>
        </w:rPr>
      </w:pPr>
    </w:p>
    <w:p w14:paraId="71C82296" w14:textId="25E3DA64" w:rsidR="00854B28" w:rsidRPr="00B051E9" w:rsidRDefault="00854B28" w:rsidP="00854B28">
      <w:pPr>
        <w:spacing w:line="360" w:lineRule="auto"/>
        <w:jc w:val="center"/>
        <w:rPr>
          <w:rFonts w:ascii="Bahnschrift" w:hAnsi="Bahnschrift" w:cs="Arial"/>
          <w:b/>
          <w:sz w:val="20"/>
          <w:szCs w:val="18"/>
        </w:rPr>
      </w:pPr>
      <w:r w:rsidRPr="00B051E9">
        <w:rPr>
          <w:rFonts w:ascii="Bahnschrift" w:hAnsi="Bahnschrift" w:cs="Arial"/>
          <w:b/>
          <w:sz w:val="20"/>
          <w:szCs w:val="18"/>
        </w:rPr>
        <w:t xml:space="preserve">Opis przedmiotu zamówienia / Opis oferowanego </w:t>
      </w:r>
      <w:r>
        <w:rPr>
          <w:rFonts w:ascii="Bahnschrift" w:hAnsi="Bahnschrift" w:cs="Arial"/>
          <w:b/>
          <w:sz w:val="20"/>
          <w:szCs w:val="18"/>
        </w:rPr>
        <w:t>urządzenia</w:t>
      </w:r>
    </w:p>
    <w:p w14:paraId="0726BC95" w14:textId="77777777" w:rsidR="00BC0856" w:rsidRPr="00BC0856" w:rsidRDefault="00BC0856" w:rsidP="00BC0856">
      <w:pPr>
        <w:spacing w:after="0" w:line="240" w:lineRule="auto"/>
        <w:rPr>
          <w:rFonts w:ascii="Times New Roman" w:eastAsia="Times New Roman" w:hAnsi="Times New Roman" w:cs="Times New Roman"/>
          <w:szCs w:val="24"/>
          <w:lang w:eastAsia="pl-PL"/>
        </w:rPr>
      </w:pPr>
    </w:p>
    <w:tbl>
      <w:tblPr>
        <w:tblW w:w="1037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9"/>
        <w:gridCol w:w="4090"/>
        <w:gridCol w:w="3969"/>
      </w:tblGrid>
      <w:tr w:rsidR="00854B28" w:rsidRPr="001F59F9" w14:paraId="5E657218" w14:textId="77777777" w:rsidTr="00E746D1">
        <w:trPr>
          <w:trHeight w:val="135"/>
        </w:trPr>
        <w:tc>
          <w:tcPr>
            <w:tcW w:w="2319" w:type="dxa"/>
            <w:vMerge w:val="restart"/>
          </w:tcPr>
          <w:p w14:paraId="04F13AE2" w14:textId="651AE54B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>Podzespół / komponent / układ [opis]</w:t>
            </w:r>
          </w:p>
        </w:tc>
        <w:tc>
          <w:tcPr>
            <w:tcW w:w="4090" w:type="dxa"/>
          </w:tcPr>
          <w:p w14:paraId="356CA90C" w14:textId="09C3DD2A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3969" w:type="dxa"/>
          </w:tcPr>
          <w:p w14:paraId="249E0D00" w14:textId="3A52C3D3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Opis </w:t>
            </w:r>
            <w:r>
              <w:rPr>
                <w:rFonts w:ascii="Bahnschrift" w:hAnsi="Bahnschrift" w:cs="Arial"/>
                <w:b/>
                <w:sz w:val="18"/>
                <w:szCs w:val="18"/>
              </w:rPr>
              <w:t xml:space="preserve">techniczny 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oferowanego </w:t>
            </w:r>
            <w:r>
              <w:rPr>
                <w:rFonts w:ascii="Bahnschrift" w:hAnsi="Bahnschrift" w:cs="Arial"/>
                <w:b/>
                <w:sz w:val="18"/>
                <w:szCs w:val="18"/>
              </w:rPr>
              <w:t>urządzenia</w:t>
            </w:r>
          </w:p>
        </w:tc>
      </w:tr>
      <w:tr w:rsidR="00854B28" w:rsidRPr="001F59F9" w14:paraId="4A594962" w14:textId="5BE3E224" w:rsidTr="00E746D1">
        <w:trPr>
          <w:trHeight w:val="135"/>
        </w:trPr>
        <w:tc>
          <w:tcPr>
            <w:tcW w:w="2319" w:type="dxa"/>
            <w:vMerge/>
          </w:tcPr>
          <w:p w14:paraId="741D51BB" w14:textId="1C8CEADD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</w:p>
        </w:tc>
        <w:tc>
          <w:tcPr>
            <w:tcW w:w="4090" w:type="dxa"/>
          </w:tcPr>
          <w:p w14:paraId="23D55637" w14:textId="77777777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>Parametr / funkcja</w:t>
            </w:r>
          </w:p>
        </w:tc>
        <w:tc>
          <w:tcPr>
            <w:tcW w:w="3969" w:type="dxa"/>
          </w:tcPr>
          <w:p w14:paraId="506773D1" w14:textId="189204D7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>Parametr / funkcja</w:t>
            </w:r>
          </w:p>
        </w:tc>
      </w:tr>
      <w:tr w:rsidR="00854B28" w:rsidRPr="001F59F9" w14:paraId="0591F70C" w14:textId="2BD2F29E" w:rsidTr="00E746D1">
        <w:trPr>
          <w:trHeight w:val="135"/>
        </w:trPr>
        <w:tc>
          <w:tcPr>
            <w:tcW w:w="2319" w:type="dxa"/>
            <w:vMerge/>
            <w:tcBorders>
              <w:bottom w:val="double" w:sz="4" w:space="0" w:color="auto"/>
            </w:tcBorders>
          </w:tcPr>
          <w:p w14:paraId="5E61006D" w14:textId="77777777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4090" w:type="dxa"/>
            <w:tcBorders>
              <w:bottom w:val="double" w:sz="4" w:space="0" w:color="auto"/>
            </w:tcBorders>
          </w:tcPr>
          <w:p w14:paraId="4A5A4EE8" w14:textId="77777777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 xml:space="preserve">Nazwa/ </w:t>
            </w: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wymiar</w:t>
            </w:r>
          </w:p>
        </w:tc>
        <w:tc>
          <w:tcPr>
            <w:tcW w:w="3969" w:type="dxa"/>
            <w:tcBorders>
              <w:bottom w:val="double" w:sz="4" w:space="0" w:color="auto"/>
            </w:tcBorders>
          </w:tcPr>
          <w:p w14:paraId="56B25B22" w14:textId="34D06EB8" w:rsidR="00854B28" w:rsidRPr="001F59F9" w:rsidRDefault="00854B28" w:rsidP="00854B28">
            <w:pPr>
              <w:spacing w:after="0" w:line="360" w:lineRule="auto"/>
              <w:jc w:val="center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 xml:space="preserve">Nazwa/ </w:t>
            </w: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wymiar</w:t>
            </w:r>
          </w:p>
        </w:tc>
      </w:tr>
      <w:tr w:rsidR="00854B28" w:rsidRPr="001F59F9" w14:paraId="5C22C21B" w14:textId="135F08FC" w:rsidTr="00E746D1">
        <w:trPr>
          <w:trHeight w:val="567"/>
        </w:trPr>
        <w:tc>
          <w:tcPr>
            <w:tcW w:w="2319" w:type="dxa"/>
          </w:tcPr>
          <w:p w14:paraId="4BBF35E4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Parametry podstawowe</w:t>
            </w:r>
          </w:p>
        </w:tc>
        <w:tc>
          <w:tcPr>
            <w:tcW w:w="4090" w:type="dxa"/>
          </w:tcPr>
          <w:p w14:paraId="01833DF4" w14:textId="2DBFB4CB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Układ wyposaz</w:t>
            </w:r>
            <w:r w:rsidRPr="001F59F9">
              <w:rPr>
                <w:rFonts w:ascii="Bahnschrift" w:eastAsia="Times New Roman" w:hAnsi="Bahnschrift" w:cs="Tahoma"/>
                <w:bCs/>
                <w:sz w:val="18"/>
                <w:szCs w:val="18"/>
                <w:lang w:val="cs-CZ"/>
              </w:rPr>
              <w:t>̇</w:t>
            </w:r>
            <w:r w:rsidRPr="001F59F9">
              <w:rPr>
                <w:rFonts w:ascii="Bahnschrift" w:eastAsia="Times New Roman" w:hAnsi="Bahnschrift" w:cs="Times New Roman"/>
                <w:bCs/>
                <w:sz w:val="18"/>
                <w:szCs w:val="18"/>
                <w:lang w:val="cs-CZ"/>
              </w:rPr>
              <w:t>ony w zestaw dwóch pomp do formowania gradientu.</w:t>
            </w:r>
          </w:p>
          <w:p w14:paraId="22EC701E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Dokładność budowania gradientu równa lub lepsza od 2%.</w:t>
            </w:r>
          </w:p>
          <w:p w14:paraId="6395E46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Wymagane parametry: </w:t>
            </w:r>
          </w:p>
          <w:p w14:paraId="0867F68F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Zakres przepływów: nie mniejszy niż od 1 do 300 ml/min </w:t>
            </w:r>
          </w:p>
          <w:p w14:paraId="176A917C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Zakres </w:t>
            </w:r>
            <w:proofErr w:type="spellStart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ciśnien</w:t>
            </w:r>
            <w:proofErr w:type="spellEnd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́: nie mniej </w:t>
            </w:r>
            <w:proofErr w:type="spellStart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niz</w:t>
            </w:r>
            <w:proofErr w:type="spellEnd"/>
            <w:r w:rsidRPr="001F59F9">
              <w:rPr>
                <w:rFonts w:ascii="Bahnschrift" w:eastAsia="Times New Roman" w:hAnsi="Bahnschrift" w:cs="Tahoma"/>
                <w:bCs/>
                <w:sz w:val="18"/>
                <w:szCs w:val="18"/>
                <w:lang w:eastAsia="pl-PL"/>
              </w:rPr>
              <w:t>̇</w:t>
            </w:r>
            <w:r w:rsidRPr="001F59F9">
              <w:rPr>
                <w:rFonts w:ascii="Bahnschrift" w:eastAsia="Times New Roman" w:hAnsi="Bahnschrift" w:cs="Times New Roman"/>
                <w:bCs/>
                <w:sz w:val="18"/>
                <w:szCs w:val="18"/>
                <w:lang w:eastAsia="pl-PL"/>
              </w:rPr>
              <w:t xml:space="preserve"> do 300</w:t>
            </w: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 psi</w:t>
            </w:r>
          </w:p>
          <w:p w14:paraId="6E5C0B19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3FE8790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71848F84" w14:textId="5477ADF9" w:rsidTr="00E746D1">
        <w:trPr>
          <w:trHeight w:val="567"/>
        </w:trPr>
        <w:tc>
          <w:tcPr>
            <w:tcW w:w="2319" w:type="dxa"/>
          </w:tcPr>
          <w:p w14:paraId="3C7D61BF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Budowanie gradientu</w:t>
            </w:r>
          </w:p>
        </w:tc>
        <w:tc>
          <w:tcPr>
            <w:tcW w:w="4090" w:type="dxa"/>
          </w:tcPr>
          <w:p w14:paraId="311BB15B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System pozwalający na budowanie gradientu z dowolnych dwóch, spośród czterech eluentów oraz dodatkowo dozowanie trzeciego eluentu -w stężeniu nie mniej niż 5% - w systemie izokratycznym jako modyfikatora fazy ruchomej.</w:t>
            </w:r>
          </w:p>
          <w:p w14:paraId="0E6FC927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0E5A1EA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696DCD69" w14:textId="32567D14" w:rsidTr="00E746D1">
        <w:trPr>
          <w:trHeight w:val="567"/>
        </w:trPr>
        <w:tc>
          <w:tcPr>
            <w:tcW w:w="2319" w:type="dxa"/>
          </w:tcPr>
          <w:p w14:paraId="0582BD8F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Bezpieczeństwo</w:t>
            </w:r>
          </w:p>
        </w:tc>
        <w:tc>
          <w:tcPr>
            <w:tcW w:w="4090" w:type="dxa"/>
          </w:tcPr>
          <w:p w14:paraId="03AEBB25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Wbudowany system kontroli poziomu eluentów, z czujnikami poziomu cieczy w butlach z eluentami, automatycznie wstrzymujący proces w przypadku zejścia poziomu eluentu poniżej poziomu minimalnego</w:t>
            </w:r>
            <w:r w:rsidRPr="001F59F9">
              <w:rPr>
                <w:rFonts w:ascii="Bahnschrift" w:eastAsia="Times New Roman" w:hAnsi="Bahnschrift" w:cs="Calibri"/>
                <w:sz w:val="18"/>
                <w:szCs w:val="18"/>
              </w:rPr>
              <w:t xml:space="preserve">. </w:t>
            </w: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System kontroli poziomu rozpuszczalników za pomocą czujnika ciśnienia </w:t>
            </w: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lastRenderedPageBreak/>
              <w:t>na wlocie  filtra rurki ssącej, nie wymagający kalibracji.</w:t>
            </w:r>
          </w:p>
          <w:p w14:paraId="614E23A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Wbudowany system kontroli poziomu zlewek, z czujnikiem poziomu cieczy w butli zbierającej, automatycznie wstrzymujący proces w przypadku przekroczenia poziomu zlewek powyżej poziomu zadanego jako maksymalny. System kontroli za pomocą czujnika ciśnienia na wylocie rurki wgłębnej, nie wymagający kalibracji.</w:t>
            </w:r>
          </w:p>
          <w:p w14:paraId="0DBA93C4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Wbudowane systemy bezpieczeństwa, między innymi : uziemione ścieżki obiegu rozpuszczalników (fluoropolimer z grafitem), monitorowanie poziomu ciśnienia, czujnik poziomu oparów z określeniem przez użytkownika progu alarmu i z detektorem rejestrującym jakikolwiek przeciek.</w:t>
            </w:r>
          </w:p>
          <w:p w14:paraId="49C36E5D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3B0939A3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62A1EC37" w14:textId="6BF50618" w:rsidTr="00E746D1">
        <w:trPr>
          <w:trHeight w:val="567"/>
        </w:trPr>
        <w:tc>
          <w:tcPr>
            <w:tcW w:w="2319" w:type="dxa"/>
          </w:tcPr>
          <w:p w14:paraId="346E1700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Zawór</w:t>
            </w:r>
          </w:p>
        </w:tc>
        <w:tc>
          <w:tcPr>
            <w:tcW w:w="4090" w:type="dxa"/>
          </w:tcPr>
          <w:p w14:paraId="7E753D61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Automatycznie przełączający się w wymaganą pozycję zawór do nastrzyków, automatycznie samoczyszczący się.</w:t>
            </w:r>
          </w:p>
          <w:p w14:paraId="72C09F08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31F7A56E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0BD4E7F5" w14:textId="04923738" w:rsidTr="00E746D1">
        <w:trPr>
          <w:trHeight w:val="567"/>
        </w:trPr>
        <w:tc>
          <w:tcPr>
            <w:tcW w:w="2319" w:type="dxa"/>
          </w:tcPr>
          <w:p w14:paraId="78EFF2FD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 xml:space="preserve">Kolektor frakcji </w:t>
            </w:r>
          </w:p>
        </w:tc>
        <w:tc>
          <w:tcPr>
            <w:tcW w:w="4090" w:type="dxa"/>
          </w:tcPr>
          <w:p w14:paraId="2849BB2A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zautomatyzowanej współpracy kolektora frakcji  ze statywami posiadającymi wbudowane czipy, automatycznie rozpoznawanymi przez system RFID dla:</w:t>
            </w:r>
          </w:p>
          <w:p w14:paraId="2F9DF96C" w14:textId="15E889C9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probówek 13 x </w:t>
            </w:r>
            <w:smartTag w:uri="urn:schemas-microsoft-com:office:smarttags" w:element="metricconverter">
              <w:smartTagPr>
                <w:attr w:name="ProductID" w:val="100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100 mm</w:t>
              </w:r>
            </w:smartTag>
            <w:r w:rsidR="00680DCD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+/- 2mm </w:t>
            </w: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108 szt/statyw, </w:t>
            </w:r>
          </w:p>
          <w:p w14:paraId="5A7682CB" w14:textId="682841B3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16 x </w:t>
            </w:r>
            <w:smartTag w:uri="urn:schemas-microsoft-com:office:smarttags" w:element="metricconverter">
              <w:smartTagPr>
                <w:attr w:name="ProductID" w:val="100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100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75 szt/statyw , +/- 2 mm</w:t>
            </w:r>
          </w:p>
          <w:p w14:paraId="0F84886E" w14:textId="7036E538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16 x </w:t>
            </w:r>
            <w:smartTag w:uri="urn:schemas-microsoft-com:office:smarttags" w:element="metricconverter">
              <w:smartTagPr>
                <w:attr w:name="ProductID" w:val="125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125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75 szt/statyw,  +/- 2 mm</w:t>
            </w:r>
          </w:p>
          <w:p w14:paraId="6A729FE7" w14:textId="25F63C86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16 x 150/160 mm dla 75 szt/statyw, +/- 2 mm</w:t>
            </w:r>
          </w:p>
          <w:p w14:paraId="4A6D46BF" w14:textId="6FB7554E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18 x </w:t>
            </w:r>
            <w:smartTag w:uri="urn:schemas-microsoft-com:office:smarttags" w:element="metricconverter">
              <w:smartTagPr>
                <w:attr w:name="ProductID" w:val="150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150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70 szt/statyw, +/- 2 mm</w:t>
            </w:r>
          </w:p>
          <w:p w14:paraId="5D3FE174" w14:textId="66940010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18 x </w:t>
            </w:r>
            <w:smartTag w:uri="urn:schemas-microsoft-com:office:smarttags" w:element="metricconverter">
              <w:smartTagPr>
                <w:attr w:name="ProductID" w:val="180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180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70 szt/statyw +/- 2 mm</w:t>
            </w:r>
          </w:p>
          <w:p w14:paraId="76B917B2" w14:textId="56D347E4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25 x </w:t>
            </w:r>
            <w:smartTag w:uri="urn:schemas-microsoft-com:office:smarttags" w:element="metricconverter">
              <w:smartTagPr>
                <w:attr w:name="ProductID" w:val="150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150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dla 30 szt/statyw, +/- 2 mm</w:t>
            </w:r>
          </w:p>
          <w:p w14:paraId="35CF11D5" w14:textId="18EA3DDB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lastRenderedPageBreak/>
              <w:t xml:space="preserve">zbiorników o objętościach 20 ml +/- 2 ml – 28 x </w:t>
            </w:r>
            <w:smartTag w:uri="urn:schemas-microsoft-com:office:smarttags" w:element="metricconverter">
              <w:smartTagPr>
                <w:attr w:name="ProductID" w:val="61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61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+/- 2 mm dla 27 sz/statyw,  </w:t>
            </w:r>
          </w:p>
          <w:p w14:paraId="63EBF01E" w14:textId="62D721B9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40 ml +/- 2 ml- 28 x </w:t>
            </w:r>
            <w:smartTag w:uri="urn:schemas-microsoft-com:office:smarttags" w:element="metricconverter">
              <w:smartTagPr>
                <w:attr w:name="ProductID" w:val="95 mm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95 mm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+/- 2 mm dla 27 sz/statyw</w:t>
            </w:r>
          </w:p>
          <w:p w14:paraId="6D67A3A2" w14:textId="0D9DDEC3" w:rsidR="00854B28" w:rsidRPr="001F59F9" w:rsidRDefault="00854B28" w:rsidP="00854B28">
            <w:pPr>
              <w:numPr>
                <w:ilvl w:val="0"/>
                <w:numId w:val="1"/>
              </w:numPr>
              <w:suppressAutoHyphens/>
              <w:spacing w:after="0" w:line="360" w:lineRule="auto"/>
              <w:ind w:left="296" w:hanging="283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butli kwadratowych 480 ml +/- 2 ml dla 12 szt/ statyw</w:t>
            </w:r>
          </w:p>
          <w:p w14:paraId="06D3F118" w14:textId="7EB9EAA8" w:rsidR="00854B28" w:rsidRPr="00854B28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Kolektor frakcji o objętości martwej pomiędzy zaworem dozującym a wylotem końcówki - o objętości  poniżej 0,5mL, zawierający zawór przesuwający się na ramieniu bezpośrednio nad probówkami.  Zawór dozujący kolektora frakcji umieszczony na jego ramieniu, przemieszczający się  bezpośrednio nad probówkami.</w:t>
            </w:r>
          </w:p>
        </w:tc>
        <w:tc>
          <w:tcPr>
            <w:tcW w:w="3969" w:type="dxa"/>
          </w:tcPr>
          <w:p w14:paraId="785D130B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2D09B529" w14:textId="25B07393" w:rsidTr="00E746D1">
        <w:trPr>
          <w:trHeight w:val="567"/>
        </w:trPr>
        <w:tc>
          <w:tcPr>
            <w:tcW w:w="2319" w:type="dxa"/>
          </w:tcPr>
          <w:p w14:paraId="01D36B5D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Detektor</w:t>
            </w:r>
          </w:p>
        </w:tc>
        <w:tc>
          <w:tcPr>
            <w:tcW w:w="4090" w:type="dxa"/>
          </w:tcPr>
          <w:p w14:paraId="26CA7B98" w14:textId="23AB08A2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Wbudowany detektor UV-Vis z zakresem nie mniejszym niż 200 – 800 </w:t>
            </w:r>
            <w:proofErr w:type="spellStart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nm</w:t>
            </w:r>
            <w:proofErr w:type="spellEnd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 typu PDA, </w:t>
            </w:r>
            <w:r w:rsidRPr="001F59F9">
              <w:rPr>
                <w:rFonts w:ascii="Bahnschrift" w:eastAsia="Times New Roman" w:hAnsi="Bahnschrift" w:cs="Times New Roman"/>
                <w:sz w:val="18"/>
                <w:szCs w:val="18"/>
                <w:lang w:eastAsia="pl-PL"/>
              </w:rPr>
              <w:t xml:space="preserve">ze zmienną długością fali, detektor co najmniej 2-kanałowy, zapewniający jednocześnie rejestrację </w:t>
            </w:r>
            <w:proofErr w:type="spellStart"/>
            <w:r w:rsidRPr="001F59F9">
              <w:rPr>
                <w:rFonts w:ascii="Bahnschrift" w:eastAsia="Times New Roman" w:hAnsi="Bahnschrift" w:cs="Times New Roman"/>
                <w:sz w:val="18"/>
                <w:szCs w:val="18"/>
                <w:lang w:eastAsia="pl-PL"/>
              </w:rPr>
              <w:t>chromatogramów</w:t>
            </w:r>
            <w:proofErr w:type="spellEnd"/>
            <w:r w:rsidRPr="001F59F9">
              <w:rPr>
                <w:rFonts w:ascii="Bahnschrift" w:eastAsia="Times New Roman" w:hAnsi="Bahnschrift" w:cs="Times New Roman"/>
                <w:sz w:val="18"/>
                <w:szCs w:val="18"/>
                <w:lang w:eastAsia="pl-PL"/>
              </w:rPr>
              <w:t xml:space="preserve"> dla co najmniej dwóch dowolnie zdefiniowanych długości fali</w:t>
            </w: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. Zakres absorbancji detektora do 4 AU.</w:t>
            </w:r>
          </w:p>
          <w:p w14:paraId="7BBBAB45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  <w:p w14:paraId="41B6E328" w14:textId="3B43E420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Możliwość rozbudowy o wbudowany detektor ELSD (opcja wolnostojąca jest niedopuszczalna) z płynnym sterowaniem temperaturą komory reakcyjnej w zakresie nie węższym niż od 10⁰C do 60⁰C, i kanału transferowego od 30⁰C do 90⁰C, kontrolowany z poziomu oprogramowania chromatografu ze zbieraniem frakcji w funkcji rejestrowanego sygnału</w:t>
            </w:r>
          </w:p>
          <w:p w14:paraId="36B24C60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Możliwość rozbudowy o detektor masowy MS bez ingerencji w system.</w:t>
            </w:r>
          </w:p>
          <w:p w14:paraId="75829136" w14:textId="506E68AB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7D4E9B80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</w:p>
        </w:tc>
      </w:tr>
      <w:tr w:rsidR="00854B28" w:rsidRPr="001F59F9" w14:paraId="2407486E" w14:textId="4BB07A2E" w:rsidTr="00E746D1">
        <w:trPr>
          <w:trHeight w:val="567"/>
        </w:trPr>
        <w:tc>
          <w:tcPr>
            <w:tcW w:w="2319" w:type="dxa"/>
          </w:tcPr>
          <w:p w14:paraId="6877B923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lastRenderedPageBreak/>
              <w:t>Kolumny</w:t>
            </w:r>
          </w:p>
        </w:tc>
        <w:tc>
          <w:tcPr>
            <w:tcW w:w="4090" w:type="dxa"/>
          </w:tcPr>
          <w:p w14:paraId="54066C59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Możliwość pracy z kolumnami od </w:t>
            </w:r>
            <w:smartTag w:uri="urn:schemas-microsoft-com:office:smarttags" w:element="metricconverter">
              <w:smartTagPr>
                <w:attr w:name="ProductID" w:val="4 g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eastAsia="pl-PL"/>
                </w:rPr>
                <w:t>4 g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 do 750 g i adapterem dla kolumn do </w:t>
            </w:r>
            <w:smartTag w:uri="urn:schemas-microsoft-com:office:smarttags" w:element="metricconverter">
              <w:smartTagPr>
                <w:attr w:name="ProductID" w:val="3 kg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eastAsia="pl-PL"/>
                </w:rPr>
                <w:t>3 kg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. Zapewniona automatyczna radiowa detekcja </w:t>
            </w:r>
            <w:proofErr w:type="spellStart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czipów</w:t>
            </w:r>
            <w:proofErr w:type="spellEnd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 wbudowanych w kolumnach, rejestracja typu kolumny przez system RFID, daty jej ostatniego używania, ilości razy używania oraz zastosowanych ostatnio eluentów. Wymagane by oprogramowanie na podstawie informacji o kolumnie automatycznie proponowało gradient do zastosowania z możliwością modyfikacji</w:t>
            </w:r>
          </w:p>
          <w:p w14:paraId="15777D1C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4C4C1A24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</w:p>
        </w:tc>
      </w:tr>
      <w:tr w:rsidR="00854B28" w:rsidRPr="001F59F9" w14:paraId="3A34436A" w14:textId="1E93B258" w:rsidTr="00E746D1">
        <w:trPr>
          <w:trHeight w:val="567"/>
        </w:trPr>
        <w:tc>
          <w:tcPr>
            <w:tcW w:w="2319" w:type="dxa"/>
          </w:tcPr>
          <w:p w14:paraId="467272B6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t>Funkcje systemu</w:t>
            </w:r>
          </w:p>
        </w:tc>
        <w:tc>
          <w:tcPr>
            <w:tcW w:w="4090" w:type="dxa"/>
          </w:tcPr>
          <w:p w14:paraId="2FA78649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wpisania wyniku rozdziału z dwóch płytek TLC, na tej podstawie system proponuje optymalnie dobrany gradient do podziału próbki.</w:t>
            </w:r>
          </w:p>
          <w:p w14:paraId="48D77403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naniesienia próbki ciekłej, stałej lub na kolumnie.</w:t>
            </w:r>
          </w:p>
          <w:p w14:paraId="0C8A7A99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Zestaw do nanoszenia próbki stałej na prekolumnie.</w:t>
            </w:r>
          </w:p>
          <w:p w14:paraId="378DFB73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kondycjonowania ręcznego lub automatycznego kolumny.</w:t>
            </w:r>
          </w:p>
          <w:p w14:paraId="5CF449A3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automatycznego mycia i przedmuchu kolumny po rozdziale. Oprogramowanie umożliwiające wprowadzenie zmian we wszystkich zadanych parametrach w czasie rzeczywistym w każdym momencie procesu.</w:t>
            </w:r>
          </w:p>
          <w:p w14:paraId="22B9CA68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Monitorowanie w czasie rzeczywistym zbieranych sygnałów z detektorów oraz warunków procesu.</w:t>
            </w:r>
          </w:p>
          <w:p w14:paraId="4C96C99A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Mapa kolorystyczna odpowiadająca pikom i zakresom probówek, do których odpowiadające im frakcje zostały zebrane.</w:t>
            </w:r>
          </w:p>
          <w:p w14:paraId="4FC10045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</w:p>
        </w:tc>
        <w:tc>
          <w:tcPr>
            <w:tcW w:w="3969" w:type="dxa"/>
          </w:tcPr>
          <w:p w14:paraId="232D969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1D40D238" w14:textId="26F6D04F" w:rsidTr="00E746D1">
        <w:trPr>
          <w:trHeight w:val="444"/>
        </w:trPr>
        <w:tc>
          <w:tcPr>
            <w:tcW w:w="2319" w:type="dxa"/>
          </w:tcPr>
          <w:p w14:paraId="020B0604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lastRenderedPageBreak/>
              <w:t xml:space="preserve">Ekran </w:t>
            </w:r>
          </w:p>
        </w:tc>
        <w:tc>
          <w:tcPr>
            <w:tcW w:w="4090" w:type="dxa"/>
          </w:tcPr>
          <w:p w14:paraId="7BF26605" w14:textId="48B80412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Wbudowany ekran dotykowy o przekątnej od 10 do 14 cali.</w:t>
            </w:r>
          </w:p>
        </w:tc>
        <w:tc>
          <w:tcPr>
            <w:tcW w:w="3969" w:type="dxa"/>
          </w:tcPr>
          <w:p w14:paraId="65A23C0A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</w:p>
        </w:tc>
      </w:tr>
      <w:tr w:rsidR="00854B28" w:rsidRPr="001F59F9" w14:paraId="170DC450" w14:textId="1BE64791" w:rsidTr="00E746D1">
        <w:trPr>
          <w:trHeight w:val="444"/>
        </w:trPr>
        <w:tc>
          <w:tcPr>
            <w:tcW w:w="2319" w:type="dxa"/>
          </w:tcPr>
          <w:p w14:paraId="5ACD773F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Oprogramowanie</w:t>
            </w:r>
          </w:p>
        </w:tc>
        <w:tc>
          <w:tcPr>
            <w:tcW w:w="4090" w:type="dxa"/>
          </w:tcPr>
          <w:p w14:paraId="1764A1FA" w14:textId="4C35B78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Oprogramowanie pracuj</w:t>
            </w:r>
            <w:r w:rsid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ą</w:t>
            </w:r>
            <w:r w:rsidRP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ce w </w:t>
            </w:r>
            <w:r w:rsidR="008B6335" w:rsidRP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otwartym </w:t>
            </w:r>
            <w:r w:rsidRP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systemie operacyjnym </w:t>
            </w:r>
            <w:r w:rsidR="00AF510A" w:rsidRPr="00637194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- ponieważ</w:t>
            </w:r>
            <w:r w:rsidR="00AF510A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zapewnia ciągłą pracę systemu i zapobiega ewentualnym awariom sprzętu, </w:t>
            </w: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pozwalające na zbieranie frakcji przy:</w:t>
            </w:r>
          </w:p>
          <w:p w14:paraId="0AA6B17D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-       dowolnie zadanej długości jednej fali</w:t>
            </w:r>
          </w:p>
          <w:p w14:paraId="37F3CEB2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-       dowolnie zadanych długościach dwóch fal</w:t>
            </w:r>
          </w:p>
          <w:p w14:paraId="1F4D44AE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-       dowolnie zadanej długości jednej fali i przy przemiataniu całego </w:t>
            </w:r>
          </w:p>
          <w:p w14:paraId="72507BA8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zakresu lub wybranego zakresu fal</w:t>
            </w:r>
          </w:p>
          <w:p w14:paraId="14A4E1EE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-       dowolnie zadanych długościach dwóch fal i przy przemiataniu całego </w:t>
            </w:r>
          </w:p>
          <w:p w14:paraId="147C31B8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zakresu lub wybranego zakresu fal</w:t>
            </w:r>
          </w:p>
          <w:p w14:paraId="7B8C138A" w14:textId="77777777" w:rsidR="00854B28" w:rsidRPr="001F59F9" w:rsidRDefault="00854B28" w:rsidP="001F59F9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-       przy przemiataniu całego zakresu lub wybranego zakresu fal</w:t>
            </w:r>
          </w:p>
          <w:p w14:paraId="47D6A213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  <w:p w14:paraId="10148002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Podgląd widma UVVis w czasie rzeczywistym i po nastrzyku</w:t>
            </w:r>
          </w:p>
          <w:p w14:paraId="7D7F7CAD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  <w:p w14:paraId="1EDF02A5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System kontroli natężenia naświetlania UV.</w:t>
            </w:r>
          </w:p>
          <w:p w14:paraId="6C7528EA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Możliwość zbierania dowolnej objętości frakcji z całej szerokości piku lub jego fragmentu. Możliwość przesyłania całego zbieranego produktu do zlewek. Możliwość zbierania całego produktu przez kolektor frakcji z automatycznym przejściem do kolejnej probówki w momencie pojawienia się piku. </w:t>
            </w:r>
          </w:p>
          <w:p w14:paraId="65AF82F4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Oprogramowanie pozwalające na zbieranie frakcji na podstawie szybkości narastania rejestrowanej krzywej sygnału z detektora lub przekroczenia zadanego progu.</w:t>
            </w:r>
          </w:p>
          <w:p w14:paraId="193FC4DA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lastRenderedPageBreak/>
              <w:t>Zewnętrzny system sterowania i prezentacji wyników.</w:t>
            </w:r>
          </w:p>
          <w:p w14:paraId="3E6F9C7D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Moduł oprogramowania do obsługi spektrometru masowego z aktywną możliwością pracy w trybie symulacyjnym dla spektrometru masowego o zakresie 50-1200 Daltonów i  50-2000 Daltonów z funkcją porównywania poszukiwanej masy z masami wykrywanych jonów, możliwością automatycznego wyboru przy tworzeniu nowej metody konfiguracji z widm zachowanych wcześniej, zakresie detekcji ±1Da, szybkości zachowywania widma MS podczas rejestracji pików co każde 0,1 objętości kolumny, funkcja kończącej rozdział w momencie zrealizowanego celu i tworzenia raportów z możliwością wydruku 4 wykresów widm na jednym raporcie</w:t>
            </w:r>
          </w:p>
          <w:p w14:paraId="5AD33137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System podłączenia do sieci - protokół TCP/IP, połączenie sieciowe IEEE 802.3 (Ethernet). Możliwość zdalnego wprowadzania zmian w warunkach podziału oraz  w  parametrach zbierania frakcji- w dowolnym momencie.</w:t>
            </w:r>
          </w:p>
          <w:p w14:paraId="7313E198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wprowadzenia hasła dostępu, kont użytkowników o różnym dostępie.</w:t>
            </w:r>
          </w:p>
          <w:p w14:paraId="5CC28385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Tryby pracy: izokratyczny z możliwościami łączenia eluentów, gradient krokowy, gradient liniowy.</w:t>
            </w:r>
          </w:p>
          <w:p w14:paraId="2D3C7689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Automatyczne zapisywanie na dysk w sieci wewnętrznej.</w:t>
            </w:r>
          </w:p>
          <w:p w14:paraId="039C2ADC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Po wykonanym rozdziale oprogramowanie automatycznie proponuje rozpoczęcie zbierania frakcji od probówki kolejnej, z pozostawieniem 1 szt. odstępu.</w:t>
            </w:r>
          </w:p>
          <w:p w14:paraId="1924D92B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lastRenderedPageBreak/>
              <w:t>Funkcja manualnego wymuszenia przejścia zbieranej frakcji do kolejnego zbiornika, do kolejnego kroku planu, do zakończenia procesu.</w:t>
            </w:r>
          </w:p>
          <w:p w14:paraId="35AC16A5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Automatyczne skalowanie metod dla mniejszych lub większych rozmiarów kolumn.</w:t>
            </w:r>
          </w:p>
          <w:p w14:paraId="25ED917C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Możliwość wprowadzenia indywidualnych typów kolumn oraz </w:t>
            </w:r>
          </w:p>
          <w:p w14:paraId="25F2F7D9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Oprogramowanie z automatycznym, trzykrotnym wydłużaniem czasu rozdziału, każdorazowo o 5 minut, w sytuacji, gdy pierwotnie zadany koniec występuje, gdy nie skończył się jeszcze rejestrowany pik, w celu zebrania całej objętości piku i niedopuszczenia do przerwania niedokończonego jeszcze rozdziału.</w:t>
            </w:r>
          </w:p>
          <w:p w14:paraId="751B0357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automatycznej ekstrakcji planu rozdziału z zapisanego pliku będącego zapisem wyników.</w:t>
            </w:r>
          </w:p>
          <w:p w14:paraId="285C13B2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zautomatyzowanej kalkulacji energii powierzchni wg 3 modeli: Girifalco-Good-Fowkes-Young, Owens-Wendt i Lewis acid/base z między innymi: częścią polarną i dyspersyjną, bazą danych napięcia powierzchniowego i wartości dyspersyjnej, polarnej, kwasowej i zasadowej dla nie mniej niż 60 związków chemicznych, z możliwością dopisywania rekordów i z transferem danych do kalkulacji energii.</w:t>
            </w:r>
          </w:p>
          <w:p w14:paraId="6F6C6D80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wydruku i eksportu danych do środowiska Windows.</w:t>
            </w:r>
          </w:p>
          <w:p w14:paraId="2DB1BF89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  <w:tc>
          <w:tcPr>
            <w:tcW w:w="3969" w:type="dxa"/>
          </w:tcPr>
          <w:p w14:paraId="6C5449C9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highlight w:val="yellow"/>
                <w:lang w:val="cs-CZ"/>
              </w:rPr>
            </w:pPr>
          </w:p>
        </w:tc>
      </w:tr>
      <w:tr w:rsidR="00854B28" w:rsidRPr="001F59F9" w14:paraId="63A93894" w14:textId="789F8220" w:rsidTr="00E746D1">
        <w:trPr>
          <w:trHeight w:val="444"/>
        </w:trPr>
        <w:tc>
          <w:tcPr>
            <w:tcW w:w="2319" w:type="dxa"/>
          </w:tcPr>
          <w:p w14:paraId="0630E6DD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  <w:lastRenderedPageBreak/>
              <w:t>Wymiary</w:t>
            </w:r>
          </w:p>
        </w:tc>
        <w:tc>
          <w:tcPr>
            <w:tcW w:w="4090" w:type="dxa"/>
          </w:tcPr>
          <w:p w14:paraId="1D156FCC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Wymiary nie większe niż wysokość 66 cm, szerokość 36cm, głębokość 43 cm</w:t>
            </w:r>
          </w:p>
          <w:p w14:paraId="5A6EB1D6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  <w:tc>
          <w:tcPr>
            <w:tcW w:w="3969" w:type="dxa"/>
          </w:tcPr>
          <w:p w14:paraId="1A500B3A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6222FF1D" w14:textId="0BCB5E74" w:rsidTr="00E746D1">
        <w:trPr>
          <w:trHeight w:val="444"/>
        </w:trPr>
        <w:tc>
          <w:tcPr>
            <w:tcW w:w="2319" w:type="dxa"/>
          </w:tcPr>
          <w:p w14:paraId="6DEC7DCC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lastRenderedPageBreak/>
              <w:t>Oprzyrządowanie dedykowane pracy na chromatografie Flash</w:t>
            </w:r>
          </w:p>
        </w:tc>
        <w:tc>
          <w:tcPr>
            <w:tcW w:w="4090" w:type="dxa"/>
          </w:tcPr>
          <w:p w14:paraId="24A2FADD" w14:textId="7A33FF0D" w:rsidR="00854B28" w:rsidRPr="001F59F9" w:rsidRDefault="00854B28" w:rsidP="00854B28">
            <w:pPr>
              <w:pStyle w:val="Akapitzlist"/>
              <w:numPr>
                <w:ilvl w:val="0"/>
                <w:numId w:val="1"/>
              </w:numPr>
              <w:spacing w:beforeLines="1" w:before="2" w:afterLines="1" w:after="2" w:line="360" w:lineRule="auto"/>
              <w:ind w:left="154" w:hanging="154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Zestaw do nastrzyku suchej próbki naniesionej na krzemionkę lub inny materiał (preloading) z kardridżem </w:t>
            </w:r>
            <w:smartTag w:uri="urn:schemas-microsoft-com:office:smarttags" w:element="metricconverter">
              <w:smartTagPr>
                <w:attr w:name="ProductID" w:val="25 g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25 g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(nakręcana na kardridż </w:t>
            </w:r>
            <w:smartTag w:uri="urn:schemas-microsoft-com:office:smarttags" w:element="metricconverter">
              <w:smartTagPr>
                <w:attr w:name="ProductID" w:val="25 g"/>
              </w:smartTagPr>
              <w:r w:rsidRPr="001F59F9">
                <w:rPr>
                  <w:rFonts w:ascii="Bahnschrift" w:eastAsia="Times New Roman" w:hAnsi="Bahnschrift" w:cs="Arial"/>
                  <w:bCs/>
                  <w:sz w:val="18"/>
                  <w:szCs w:val="18"/>
                  <w:lang w:val="cs-CZ"/>
                </w:rPr>
                <w:t>25 g</w:t>
              </w:r>
            </w:smartTag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 aluminiowa głowica, adapter dla kardridża).</w:t>
            </w:r>
          </w:p>
          <w:p w14:paraId="57932D95" w14:textId="3270A67F" w:rsidR="00854B28" w:rsidRPr="001F59F9" w:rsidRDefault="00854B28" w:rsidP="00854B28">
            <w:pPr>
              <w:pStyle w:val="Akapitzlist"/>
              <w:numPr>
                <w:ilvl w:val="0"/>
                <w:numId w:val="1"/>
              </w:numPr>
              <w:spacing w:beforeLines="1" w:before="2" w:afterLines="1" w:after="2" w:line="360" w:lineRule="auto"/>
              <w:ind w:left="154" w:hanging="154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Puste kartridże do 25 g minimum 30 sztuk</w:t>
            </w:r>
          </w:p>
          <w:p w14:paraId="4B9D0704" w14:textId="6E21A456" w:rsidR="00854B28" w:rsidRPr="001F59F9" w:rsidRDefault="00854B28" w:rsidP="00854B28">
            <w:pPr>
              <w:pStyle w:val="Akapitzlist"/>
              <w:numPr>
                <w:ilvl w:val="0"/>
                <w:numId w:val="1"/>
              </w:numPr>
              <w:spacing w:beforeLines="1" w:before="2" w:afterLines="1" w:after="2" w:line="360" w:lineRule="auto"/>
              <w:ind w:left="154" w:hanging="154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 xml:space="preserve">Fryty do kartridży do 25 g minimum 100 sztuk </w:t>
            </w:r>
          </w:p>
        </w:tc>
        <w:tc>
          <w:tcPr>
            <w:tcW w:w="3969" w:type="dxa"/>
          </w:tcPr>
          <w:p w14:paraId="13F34C54" w14:textId="77777777" w:rsidR="00854B28" w:rsidRPr="001F59F9" w:rsidRDefault="00854B28" w:rsidP="001F59F9">
            <w:pPr>
              <w:pStyle w:val="Akapitzlist"/>
              <w:numPr>
                <w:ilvl w:val="0"/>
                <w:numId w:val="1"/>
              </w:num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  <w:tr w:rsidR="00854B28" w:rsidRPr="001F59F9" w14:paraId="68DF5468" w14:textId="77C3F13A" w:rsidTr="00E746D1">
        <w:tc>
          <w:tcPr>
            <w:tcW w:w="2319" w:type="dxa"/>
          </w:tcPr>
          <w:p w14:paraId="73A1F37E" w14:textId="77777777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hAnsi="Bahnschrift"/>
                <w:sz w:val="18"/>
                <w:szCs w:val="18"/>
              </w:rPr>
              <w:br w:type="page"/>
            </w:r>
            <w:r w:rsidRPr="001F59F9">
              <w:rPr>
                <w:rFonts w:ascii="Bahnschrift" w:eastAsia="Times New Roman" w:hAnsi="Bahnschrift" w:cs="Calibri"/>
                <w:bCs/>
                <w:sz w:val="18"/>
                <w:szCs w:val="18"/>
                <w:lang w:eastAsia="pl-PL"/>
              </w:rPr>
              <w:t xml:space="preserve">Możliwości rozbudowy </w:t>
            </w:r>
          </w:p>
        </w:tc>
        <w:tc>
          <w:tcPr>
            <w:tcW w:w="4090" w:type="dxa"/>
          </w:tcPr>
          <w:p w14:paraId="2707218F" w14:textId="0EBC62EC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  <w:t>Możliwość poszerzenia o pracę ze spektrometrem masowym o zakresie pomiarowym nie węższym niż 50 – 1200 i 50 - 2000 Daltonów, kontrolowanym z poziomu oprogramowania zainstalowanego przy dostawie Chromatografu Flash i zbieraniem frakcji w funkcji rejestrowanego sygnału z  MS.</w:t>
            </w:r>
          </w:p>
          <w:p w14:paraId="12FF57FE" w14:textId="49B517FF" w:rsidR="00854B28" w:rsidRPr="001F59F9" w:rsidRDefault="00854B28" w:rsidP="001F59F9">
            <w:pPr>
              <w:spacing w:after="0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</w:pPr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Możliwość poszerzenia bez żadnych zmian w budowie o pracę z detektorem zewnętrznym, ze sterowaniem nim z poziomu oprogramowania </w:t>
            </w:r>
            <w:proofErr w:type="spellStart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>Flasha</w:t>
            </w:r>
            <w:proofErr w:type="spellEnd"/>
            <w:r w:rsidRPr="001F59F9">
              <w:rPr>
                <w:rFonts w:ascii="Bahnschrift" w:eastAsia="Times New Roman" w:hAnsi="Bahnschrift" w:cs="Arial"/>
                <w:bCs/>
                <w:sz w:val="18"/>
                <w:szCs w:val="18"/>
                <w:lang w:eastAsia="pl-PL"/>
              </w:rPr>
              <w:t xml:space="preserve"> i zbieraniem frakcji w funkcji rejestrowanego sygnału</w:t>
            </w:r>
          </w:p>
        </w:tc>
        <w:tc>
          <w:tcPr>
            <w:tcW w:w="3969" w:type="dxa"/>
          </w:tcPr>
          <w:p w14:paraId="330A3F8C" w14:textId="77777777" w:rsidR="00854B28" w:rsidRPr="001F59F9" w:rsidRDefault="00854B28" w:rsidP="001F59F9">
            <w:pPr>
              <w:spacing w:beforeLines="1" w:before="2" w:afterLines="1" w:after="2" w:line="360" w:lineRule="auto"/>
              <w:rPr>
                <w:rFonts w:ascii="Bahnschrift" w:eastAsia="Times New Roman" w:hAnsi="Bahnschrift" w:cs="Arial"/>
                <w:bCs/>
                <w:sz w:val="18"/>
                <w:szCs w:val="18"/>
                <w:lang w:val="cs-CZ"/>
              </w:rPr>
            </w:pPr>
          </w:p>
        </w:tc>
      </w:tr>
    </w:tbl>
    <w:p w14:paraId="2900ADC7" w14:textId="77777777" w:rsidR="00335B78" w:rsidRDefault="00335B78">
      <w:bookmarkStart w:id="0" w:name="_GoBack"/>
      <w:bookmarkEnd w:id="0"/>
    </w:p>
    <w:sectPr w:rsidR="00335B78" w:rsidSect="00854B28">
      <w:headerReference w:type="default" r:id="rId8"/>
      <w:footerReference w:type="default" r:id="rId9"/>
      <w:pgSz w:w="11906" w:h="16838"/>
      <w:pgMar w:top="1440" w:right="1440" w:bottom="1440" w:left="1440" w:header="142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B0A8F82" w16cex:dateUtc="2024-12-16T10:37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08E522" w14:textId="77777777" w:rsidR="002B1DCB" w:rsidRDefault="002B1DCB" w:rsidP="00854B28">
      <w:pPr>
        <w:spacing w:after="0" w:line="240" w:lineRule="auto"/>
      </w:pPr>
      <w:r>
        <w:separator/>
      </w:r>
    </w:p>
  </w:endnote>
  <w:endnote w:type="continuationSeparator" w:id="0">
    <w:p w14:paraId="12D6DD5F" w14:textId="77777777" w:rsidR="002B1DCB" w:rsidRDefault="002B1DCB" w:rsidP="00854B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Mincho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DD0F4A" w14:textId="5EB12A7E" w:rsidR="00854B28" w:rsidRDefault="00854B28" w:rsidP="00854B28"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0E54948" wp14:editId="489D77B3">
              <wp:simplePos x="0" y="0"/>
              <wp:positionH relativeFrom="rightMargin">
                <wp:posOffset>233680</wp:posOffset>
              </wp:positionH>
              <wp:positionV relativeFrom="margin">
                <wp:posOffset>6074410</wp:posOffset>
              </wp:positionV>
              <wp:extent cx="510540" cy="2183130"/>
              <wp:effectExtent l="0" t="0" r="0" b="7620"/>
              <wp:wrapNone/>
              <wp:docPr id="36" name="Prostokąt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61996F" w14:textId="77777777" w:rsidR="00854B28" w:rsidRPr="00B70D79" w:rsidRDefault="00854B28" w:rsidP="00854B28">
                          <w:pPr>
                            <w:pStyle w:val="Stopka"/>
                            <w:rPr>
                              <w:rFonts w:eastAsiaTheme="majorEastAsia" w:cstheme="majorBidi"/>
                              <w:szCs w:val="20"/>
                            </w:rPr>
                          </w:pPr>
                          <w:r w:rsidRPr="00B70D79">
                            <w:rPr>
                              <w:rFonts w:eastAsiaTheme="majorEastAsia" w:cstheme="majorBidi"/>
                              <w:szCs w:val="20"/>
                            </w:rPr>
                            <w:t xml:space="preserve">Strona </w:t>
                          </w:r>
                          <w:r w:rsidRPr="00B70D79">
                            <w:rPr>
                              <w:rFonts w:eastAsiaTheme="minorEastAsia" w:cs="Times New Roman"/>
                              <w:szCs w:val="20"/>
                            </w:rPr>
                            <w:fldChar w:fldCharType="begin"/>
                          </w:r>
                          <w:r w:rsidRPr="00B70D79">
                            <w:rPr>
                              <w:szCs w:val="20"/>
                            </w:rPr>
                            <w:instrText>PAGE    \* MERGEFORMAT</w:instrText>
                          </w:r>
                          <w:r w:rsidRPr="00B70D79">
                            <w:rPr>
                              <w:rFonts w:eastAsiaTheme="minorEastAsia" w:cs="Times New Roman"/>
                              <w:szCs w:val="20"/>
                            </w:rPr>
                            <w:fldChar w:fldCharType="separate"/>
                          </w:r>
                          <w:r w:rsidRPr="00B70D79">
                            <w:rPr>
                              <w:rFonts w:eastAsiaTheme="majorEastAsia" w:cstheme="majorBidi"/>
                              <w:szCs w:val="20"/>
                            </w:rPr>
                            <w:t>2</w:t>
                          </w:r>
                          <w:r w:rsidRPr="00B70D79">
                            <w:rPr>
                              <w:rFonts w:eastAsiaTheme="majorEastAsia" w:cstheme="majorBidi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oel="http://schemas.microsoft.com/office/2019/extlst" xmlns:w16sdtdh="http://schemas.microsoft.com/office/word/2020/wordml/sdtdatahash" xmlns:w16="http://schemas.microsoft.com/office/word/2018/wordml" xmlns:w16cex="http://schemas.microsoft.com/office/word/2018/wordml/cex">
          <w:pict>
            <v:rect w14:anchorId="50E54948" id="Prostokąt 36" o:spid="_x0000_s1026" style="position:absolute;margin-left:18.4pt;margin-top:478.3pt;width:40.2pt;height:171.9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" o:allowincell="f" filled="f" stroked="f">
              <v:textbox style="layout-flow:vertical;mso-layout-flow-alt:bottom-to-top;mso-fit-shape-to-text:t">
                <w:txbxContent>
                  <w:p w14:paraId="3C61996F" w14:textId="77777777" w:rsidR="00854B28" w:rsidRPr="00B70D79" w:rsidRDefault="00854B28" w:rsidP="00854B28">
                    <w:pPr>
                      <w:pStyle w:val="Stopka"/>
                      <w:rPr>
                        <w:rFonts w:eastAsiaTheme="majorEastAsia" w:cstheme="majorBidi"/>
                        <w:szCs w:val="20"/>
                      </w:rPr>
                    </w:pPr>
                    <w:r w:rsidRPr="00B70D79">
                      <w:rPr>
                        <w:rFonts w:eastAsiaTheme="majorEastAsia" w:cstheme="majorBidi"/>
                        <w:szCs w:val="20"/>
                      </w:rPr>
                      <w:t xml:space="preserve">Strona </w:t>
                    </w:r>
                    <w:r w:rsidRPr="00B70D79">
                      <w:rPr>
                        <w:rFonts w:eastAsiaTheme="minorEastAsia" w:cs="Times New Roman"/>
                        <w:szCs w:val="20"/>
                      </w:rPr>
                      <w:fldChar w:fldCharType="begin"/>
                    </w:r>
                    <w:r w:rsidRPr="00B70D79">
                      <w:rPr>
                        <w:szCs w:val="20"/>
                      </w:rPr>
                      <w:instrText>PAGE    \* MERGEFORMAT</w:instrText>
                    </w:r>
                    <w:r w:rsidRPr="00B70D79">
                      <w:rPr>
                        <w:rFonts w:eastAsiaTheme="minorEastAsia" w:cs="Times New Roman"/>
                        <w:szCs w:val="20"/>
                      </w:rPr>
                      <w:fldChar w:fldCharType="separate"/>
                    </w:r>
                    <w:r w:rsidRPr="00B70D79">
                      <w:rPr>
                        <w:rFonts w:eastAsiaTheme="majorEastAsia" w:cstheme="majorBidi"/>
                        <w:szCs w:val="20"/>
                      </w:rPr>
                      <w:t>2</w:t>
                    </w:r>
                    <w:r w:rsidRPr="00B70D79">
                      <w:rPr>
                        <w:rFonts w:eastAsiaTheme="majorEastAsia" w:cstheme="majorBidi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  <w:r w:rsidRPr="00D61394">
      <w:rPr>
        <w:rFonts w:ascii="PT Sans" w:hAnsi="PT Sans"/>
        <w:noProof/>
        <w:color w:val="002D59"/>
        <w:sz w:val="26"/>
        <w:szCs w:val="26"/>
        <w:lang w:eastAsia="pl-PL"/>
      </w:rPr>
      <w:drawing>
        <wp:anchor distT="0" distB="0" distL="114300" distR="114300" simplePos="0" relativeHeight="251664384" behindDoc="1" locked="0" layoutInCell="1" allowOverlap="1" wp14:anchorId="38293F63" wp14:editId="598CD8CC">
          <wp:simplePos x="0" y="0"/>
          <wp:positionH relativeFrom="page">
            <wp:align>left</wp:align>
          </wp:positionH>
          <wp:positionV relativeFrom="page">
            <wp:posOffset>9230995</wp:posOffset>
          </wp:positionV>
          <wp:extent cx="3259455" cy="106680"/>
          <wp:effectExtent l="0" t="0" r="0" b="7620"/>
          <wp:wrapNone/>
          <wp:docPr id="1137" name="Obraz 11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59455" cy="1066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Tabela-Siatka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33"/>
      <w:gridCol w:w="4693"/>
    </w:tblGrid>
    <w:tr w:rsidR="00854B28" w:rsidRPr="003548B4" w14:paraId="3213AEE4" w14:textId="77777777" w:rsidTr="00390C73">
      <w:tc>
        <w:tcPr>
          <w:tcW w:w="4814" w:type="dxa"/>
        </w:tcPr>
        <w:p w14:paraId="5BA05F13" w14:textId="77777777" w:rsidR="00854B28" w:rsidRPr="003548B4" w:rsidRDefault="00854B28" w:rsidP="00854B28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61312" behindDoc="1" locked="0" layoutInCell="1" allowOverlap="1" wp14:anchorId="1E6CEB40" wp14:editId="5389B5B7">
                <wp:simplePos x="0" y="0"/>
                <wp:positionH relativeFrom="page">
                  <wp:posOffset>5239385</wp:posOffset>
                </wp:positionH>
                <wp:positionV relativeFrom="page">
                  <wp:posOffset>9174480</wp:posOffset>
                </wp:positionV>
                <wp:extent cx="2292350" cy="1489710"/>
                <wp:effectExtent l="0" t="0" r="0" b="0"/>
                <wp:wrapNone/>
                <wp:docPr id="1134" name="Obraz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braz 18"/>
                        <pic:cNvPicPr preferRelativeResize="0"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7040" r="3704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2350" cy="1489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drawing>
              <wp:anchor distT="0" distB="0" distL="114300" distR="114300" simplePos="0" relativeHeight="251662336" behindDoc="1" locked="0" layoutInCell="1" allowOverlap="1" wp14:anchorId="650D018C" wp14:editId="3F01506B">
                <wp:simplePos x="0" y="0"/>
                <wp:positionH relativeFrom="page">
                  <wp:align>left</wp:align>
                </wp:positionH>
                <wp:positionV relativeFrom="page">
                  <wp:posOffset>9562465</wp:posOffset>
                </wp:positionV>
                <wp:extent cx="3260037" cy="107091"/>
                <wp:effectExtent l="0" t="0" r="0" b="7620"/>
                <wp:wrapNone/>
                <wp:docPr id="1135" name="Obraz 11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0" t="87030" r="56667" b="11965"/>
                        <a:stretch/>
                      </pic:blipFill>
                      <pic:spPr bwMode="auto">
                        <a:xfrm>
                          <a:off x="0" y="0"/>
                          <a:ext cx="3260037" cy="1070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AE7BAD">
            <w:rPr>
              <w:rFonts w:ascii="PT Sans" w:hAnsi="PT Sans"/>
              <w:noProof/>
              <w:color w:val="002D59"/>
              <w:sz w:val="14"/>
              <w:szCs w:val="26"/>
            </w:rPr>
            <w:t xml:space="preserve">Uniwersytet </w:t>
          </w: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Śląski w Katowicach</w:t>
          </w:r>
        </w:p>
        <w:p w14:paraId="326C49E6" w14:textId="77777777" w:rsidR="00854B28" w:rsidRPr="003548B4" w:rsidRDefault="00854B28" w:rsidP="00854B28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Wydział Nauk Ścisłych i Technicznych</w:t>
          </w:r>
        </w:p>
        <w:p w14:paraId="7F5BC8E7" w14:textId="77777777" w:rsidR="00854B28" w:rsidRPr="003548B4" w:rsidRDefault="00854B28" w:rsidP="00854B28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ul. Bankowa 14, 40-007 Katowice</w:t>
          </w:r>
        </w:p>
        <w:p w14:paraId="7F3749A3" w14:textId="77777777" w:rsidR="00854B28" w:rsidRPr="003548B4" w:rsidRDefault="00854B28" w:rsidP="00854B28">
          <w:pPr>
            <w:rPr>
              <w:rFonts w:ascii="PT Sans" w:hAnsi="PT Sans"/>
              <w:noProof/>
              <w:color w:val="002D59"/>
              <w:sz w:val="16"/>
              <w:szCs w:val="26"/>
            </w:rPr>
          </w:pPr>
          <w:r w:rsidRPr="003548B4">
            <w:rPr>
              <w:rFonts w:ascii="PT Sans" w:hAnsi="PT Sans"/>
              <w:noProof/>
              <w:color w:val="002D59"/>
              <w:sz w:val="16"/>
              <w:szCs w:val="26"/>
            </w:rPr>
            <w:t>www.us.edu.pl</w:t>
          </w:r>
        </w:p>
      </w:tc>
      <w:tc>
        <w:tcPr>
          <w:tcW w:w="4814" w:type="dxa"/>
        </w:tcPr>
        <w:p w14:paraId="0710FF02" w14:textId="77777777" w:rsidR="00854B28" w:rsidRPr="003548B4" w:rsidRDefault="00854B28" w:rsidP="00854B28">
          <w:pPr>
            <w:tabs>
              <w:tab w:val="center" w:pos="4536"/>
              <w:tab w:val="right" w:pos="9072"/>
            </w:tabs>
            <w:spacing w:before="120" w:line="200" w:lineRule="exact"/>
            <w:rPr>
              <w:rFonts w:ascii="Calibri" w:hAnsi="Calibri"/>
              <w:color w:val="002D59"/>
              <w:sz w:val="16"/>
              <w:szCs w:val="16"/>
            </w:rPr>
          </w:pPr>
          <w:r w:rsidRPr="003548B4">
            <w:rPr>
              <w:rFonts w:ascii="Calibri" w:hAnsi="Calibri"/>
              <w:noProof/>
              <w:color w:val="002D59"/>
              <w:sz w:val="16"/>
              <w:szCs w:val="16"/>
            </w:rPr>
            <w:drawing>
              <wp:anchor distT="0" distB="0" distL="114300" distR="114300" simplePos="0" relativeHeight="251663360" behindDoc="0" locked="0" layoutInCell="1" allowOverlap="1" wp14:anchorId="3076FCAD" wp14:editId="5FC85096">
                <wp:simplePos x="0" y="0"/>
                <wp:positionH relativeFrom="column">
                  <wp:posOffset>334645</wp:posOffset>
                </wp:positionH>
                <wp:positionV relativeFrom="paragraph">
                  <wp:posOffset>73025</wp:posOffset>
                </wp:positionV>
                <wp:extent cx="2345690" cy="382270"/>
                <wp:effectExtent l="0" t="0" r="0" b="0"/>
                <wp:wrapSquare wrapText="bothSides"/>
                <wp:docPr id="1136" name="Obraz 11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Obraz 3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0800000" flipH="1" flipV="1">
                          <a:off x="0" y="0"/>
                          <a:ext cx="2345690" cy="3822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C879D07" w14:textId="77777777" w:rsidR="00854B28" w:rsidRDefault="00854B28" w:rsidP="00854B2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05FC192" w14:textId="77777777" w:rsidR="002B1DCB" w:rsidRDefault="002B1DCB" w:rsidP="00854B28">
      <w:pPr>
        <w:spacing w:after="0" w:line="240" w:lineRule="auto"/>
      </w:pPr>
      <w:r>
        <w:separator/>
      </w:r>
    </w:p>
  </w:footnote>
  <w:footnote w:type="continuationSeparator" w:id="0">
    <w:p w14:paraId="4AA35DF2" w14:textId="77777777" w:rsidR="002B1DCB" w:rsidRDefault="002B1DCB" w:rsidP="00854B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F547DC" w14:textId="1D4AEEA0" w:rsidR="00854B28" w:rsidRDefault="002241D4" w:rsidP="00854B28">
    <w:pPr>
      <w:pStyle w:val="nazwaprojektu"/>
    </w:pPr>
    <w:sdt>
      <w:sdtPr>
        <w:id w:val="-1234694511"/>
        <w:docPartObj>
          <w:docPartGallery w:val="Page Numbers (Margins)"/>
          <w:docPartUnique/>
        </w:docPartObj>
      </w:sdtPr>
      <w:sdtEndPr/>
      <w:sdtContent/>
    </w:sdt>
    <w:r w:rsidR="00854B28" w:rsidRPr="00142DA9">
      <w:rPr>
        <w:noProof/>
        <w:lang w:eastAsia="pl-PL"/>
      </w:rPr>
      <w:drawing>
        <wp:inline distT="0" distB="0" distL="0" distR="0" wp14:anchorId="36C131FE" wp14:editId="2CA79F83">
          <wp:extent cx="6120130" cy="646334"/>
          <wp:effectExtent l="0" t="0" r="0" b="1905"/>
          <wp:docPr id="5" name="Obraz 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6D2A71A" w14:textId="7D2CA70E" w:rsidR="00854B28" w:rsidRDefault="00854B28" w:rsidP="00854B28">
    <w:pPr>
      <w:pStyle w:val="nazwaprojektu"/>
      <w:spacing w:after="0"/>
      <w:rPr>
        <w:i/>
      </w:rPr>
    </w:pPr>
    <w:r w:rsidRPr="00750CB6">
      <w:rPr>
        <w:rFonts w:eastAsia="DejaVuSans" w:cs="Calibri"/>
        <w:szCs w:val="16"/>
      </w:rPr>
      <w:t>Projekt pt. „Informatyka kwantowa i chemia na rzecz zielonej przyszłości – Uniwersytet Śląski w Katowicach wspiera studentów i uczniów szkół ponadpodstawowych”</w:t>
    </w:r>
    <w:r w:rsidR="002241D4">
      <w:rPr>
        <w:i/>
      </w:rPr>
      <w:pict w14:anchorId="67943928">
        <v:rect id="_x0000_i1025" style="width:448.15pt;height:1pt;flip:y" o:hrpct="930" o:hralign="center" o:hrstd="t" o:hrnoshade="t" o:hr="t" fillcolor="#bfbfbf [2412]" stroked="f"/>
      </w:pict>
    </w:r>
  </w:p>
  <w:p w14:paraId="1A6164BE" w14:textId="77777777" w:rsidR="00854B28" w:rsidRDefault="00854B28" w:rsidP="00854B28">
    <w:pPr>
      <w:pStyle w:val="nazwaprojektu"/>
      <w:spacing w:after="0"/>
      <w:rPr>
        <w:rFonts w:eastAsia="DejaVuSans" w:cs="Calibri"/>
        <w:sz w:val="18"/>
        <w:szCs w:val="18"/>
      </w:rPr>
    </w:pPr>
    <w:r w:rsidRPr="00AE7BAD">
      <w:rPr>
        <w:rFonts w:eastAsia="DejaVuSans" w:cs="Calibri"/>
        <w:sz w:val="18"/>
        <w:szCs w:val="18"/>
      </w:rPr>
      <w:t>Nr Umowy: UDA-FESL.10.25-IZ.01-036A/23-00</w:t>
    </w:r>
  </w:p>
  <w:p w14:paraId="7FCE2F58" w14:textId="77777777" w:rsidR="00854B28" w:rsidRDefault="00854B2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8Num1"/>
    <w:lvl w:ilvl="0">
      <w:start w:val="80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imes New Roman" w:hAnsi="Times New Roman" w:cs="Wingdings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Wingdings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Wingdings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Wingdings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Wingdings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Wingdings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421A0F07"/>
    <w:multiLevelType w:val="multilevel"/>
    <w:tmpl w:val="4F20E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zcyMLA0NQJSZkaWpko6SsGpxcWZ+XkgBUa1AOpNxNssAAAA"/>
    <w:docVar w:name="GVData" w:val="ew0KICAiZG9jSUQiOiAiZmU3NWQ0N2YtMzBlZi00OWIzLWIxNWEtZmZkNjk1MzA5ODk3Ig0KfQ=="/>
    <w:docVar w:name="GVData0" w:val="(end)"/>
  </w:docVars>
  <w:rsids>
    <w:rsidRoot w:val="007E2436"/>
    <w:rsid w:val="00005B2C"/>
    <w:rsid w:val="0000663E"/>
    <w:rsid w:val="00022625"/>
    <w:rsid w:val="00023745"/>
    <w:rsid w:val="00030C96"/>
    <w:rsid w:val="00034D18"/>
    <w:rsid w:val="000362E6"/>
    <w:rsid w:val="00057606"/>
    <w:rsid w:val="00064F4B"/>
    <w:rsid w:val="00065F77"/>
    <w:rsid w:val="000715C6"/>
    <w:rsid w:val="00073D5F"/>
    <w:rsid w:val="00077A8F"/>
    <w:rsid w:val="000829DE"/>
    <w:rsid w:val="000A0A64"/>
    <w:rsid w:val="000B25AF"/>
    <w:rsid w:val="000B2D68"/>
    <w:rsid w:val="000C1313"/>
    <w:rsid w:val="000C4BC5"/>
    <w:rsid w:val="000E3592"/>
    <w:rsid w:val="000F4526"/>
    <w:rsid w:val="000F483B"/>
    <w:rsid w:val="001143E0"/>
    <w:rsid w:val="00122B61"/>
    <w:rsid w:val="00134661"/>
    <w:rsid w:val="00141F29"/>
    <w:rsid w:val="00145770"/>
    <w:rsid w:val="00155BF2"/>
    <w:rsid w:val="00161888"/>
    <w:rsid w:val="00162831"/>
    <w:rsid w:val="001650A7"/>
    <w:rsid w:val="00167EE9"/>
    <w:rsid w:val="00172A8F"/>
    <w:rsid w:val="00173446"/>
    <w:rsid w:val="00180750"/>
    <w:rsid w:val="0018190D"/>
    <w:rsid w:val="00181E9A"/>
    <w:rsid w:val="0018385A"/>
    <w:rsid w:val="0018412A"/>
    <w:rsid w:val="00184AFD"/>
    <w:rsid w:val="001A02B4"/>
    <w:rsid w:val="001B5219"/>
    <w:rsid w:val="001C5C49"/>
    <w:rsid w:val="001C6C23"/>
    <w:rsid w:val="001D67E1"/>
    <w:rsid w:val="001E1F7D"/>
    <w:rsid w:val="001E4800"/>
    <w:rsid w:val="001F2E40"/>
    <w:rsid w:val="001F59F9"/>
    <w:rsid w:val="001F5ED4"/>
    <w:rsid w:val="00207D2F"/>
    <w:rsid w:val="00210AC9"/>
    <w:rsid w:val="0021265A"/>
    <w:rsid w:val="00212C10"/>
    <w:rsid w:val="00215F32"/>
    <w:rsid w:val="002241D4"/>
    <w:rsid w:val="00227FB3"/>
    <w:rsid w:val="0023180B"/>
    <w:rsid w:val="00232F94"/>
    <w:rsid w:val="00235C88"/>
    <w:rsid w:val="00235FF1"/>
    <w:rsid w:val="002377BB"/>
    <w:rsid w:val="002449B3"/>
    <w:rsid w:val="00246463"/>
    <w:rsid w:val="002502AF"/>
    <w:rsid w:val="002544CD"/>
    <w:rsid w:val="002561EF"/>
    <w:rsid w:val="0026133F"/>
    <w:rsid w:val="002638AC"/>
    <w:rsid w:val="00263A88"/>
    <w:rsid w:val="002746A5"/>
    <w:rsid w:val="00275409"/>
    <w:rsid w:val="00280A9B"/>
    <w:rsid w:val="00280B81"/>
    <w:rsid w:val="0029561D"/>
    <w:rsid w:val="002A173F"/>
    <w:rsid w:val="002A2988"/>
    <w:rsid w:val="002B1DCB"/>
    <w:rsid w:val="002B2D0F"/>
    <w:rsid w:val="002B3A7F"/>
    <w:rsid w:val="002B7B06"/>
    <w:rsid w:val="002C37BC"/>
    <w:rsid w:val="002C5613"/>
    <w:rsid w:val="002D10C3"/>
    <w:rsid w:val="002E6E3C"/>
    <w:rsid w:val="002E79C9"/>
    <w:rsid w:val="002F2779"/>
    <w:rsid w:val="002F6739"/>
    <w:rsid w:val="00302EBA"/>
    <w:rsid w:val="00306822"/>
    <w:rsid w:val="00313C15"/>
    <w:rsid w:val="00313D10"/>
    <w:rsid w:val="00317910"/>
    <w:rsid w:val="00324117"/>
    <w:rsid w:val="00335B78"/>
    <w:rsid w:val="00336413"/>
    <w:rsid w:val="003550F6"/>
    <w:rsid w:val="0035765B"/>
    <w:rsid w:val="00362F69"/>
    <w:rsid w:val="003635FF"/>
    <w:rsid w:val="00365333"/>
    <w:rsid w:val="00366506"/>
    <w:rsid w:val="00367DBB"/>
    <w:rsid w:val="00373BFB"/>
    <w:rsid w:val="00376563"/>
    <w:rsid w:val="00392E7D"/>
    <w:rsid w:val="00396203"/>
    <w:rsid w:val="003A50E0"/>
    <w:rsid w:val="003B6A24"/>
    <w:rsid w:val="003B71FF"/>
    <w:rsid w:val="003C7EC9"/>
    <w:rsid w:val="003D74C5"/>
    <w:rsid w:val="003E1619"/>
    <w:rsid w:val="003E3052"/>
    <w:rsid w:val="003E3314"/>
    <w:rsid w:val="003E4B6A"/>
    <w:rsid w:val="003F08B0"/>
    <w:rsid w:val="003F0D19"/>
    <w:rsid w:val="003F6D7F"/>
    <w:rsid w:val="00403D81"/>
    <w:rsid w:val="00404A45"/>
    <w:rsid w:val="00404E26"/>
    <w:rsid w:val="0041002B"/>
    <w:rsid w:val="004127E7"/>
    <w:rsid w:val="004128F2"/>
    <w:rsid w:val="00415B4C"/>
    <w:rsid w:val="0043688A"/>
    <w:rsid w:val="00440666"/>
    <w:rsid w:val="004516DC"/>
    <w:rsid w:val="00455EB1"/>
    <w:rsid w:val="00456B62"/>
    <w:rsid w:val="00457AE6"/>
    <w:rsid w:val="00463FD6"/>
    <w:rsid w:val="0046439B"/>
    <w:rsid w:val="00464445"/>
    <w:rsid w:val="0046759C"/>
    <w:rsid w:val="004772D3"/>
    <w:rsid w:val="00477BD5"/>
    <w:rsid w:val="00487647"/>
    <w:rsid w:val="004A057B"/>
    <w:rsid w:val="004A79DC"/>
    <w:rsid w:val="004B0D7F"/>
    <w:rsid w:val="004B627C"/>
    <w:rsid w:val="004B6C6A"/>
    <w:rsid w:val="004C56A0"/>
    <w:rsid w:val="004C6B8F"/>
    <w:rsid w:val="004D2640"/>
    <w:rsid w:val="004D4C40"/>
    <w:rsid w:val="004D72AE"/>
    <w:rsid w:val="004E3A2B"/>
    <w:rsid w:val="004E68CD"/>
    <w:rsid w:val="004E7FCE"/>
    <w:rsid w:val="004F1AD8"/>
    <w:rsid w:val="0050109E"/>
    <w:rsid w:val="00503C5D"/>
    <w:rsid w:val="00503CB6"/>
    <w:rsid w:val="005053C0"/>
    <w:rsid w:val="00505DA4"/>
    <w:rsid w:val="005106A8"/>
    <w:rsid w:val="00512C41"/>
    <w:rsid w:val="00512C6D"/>
    <w:rsid w:val="00514CE2"/>
    <w:rsid w:val="00516095"/>
    <w:rsid w:val="005257E9"/>
    <w:rsid w:val="005327E7"/>
    <w:rsid w:val="00545970"/>
    <w:rsid w:val="00550388"/>
    <w:rsid w:val="00551FFF"/>
    <w:rsid w:val="005524AD"/>
    <w:rsid w:val="00554586"/>
    <w:rsid w:val="005617F8"/>
    <w:rsid w:val="005652EA"/>
    <w:rsid w:val="00571B51"/>
    <w:rsid w:val="00582A17"/>
    <w:rsid w:val="00584858"/>
    <w:rsid w:val="005A5CE6"/>
    <w:rsid w:val="005A71DB"/>
    <w:rsid w:val="005B3A8B"/>
    <w:rsid w:val="005B589E"/>
    <w:rsid w:val="005C32A4"/>
    <w:rsid w:val="005C3C7A"/>
    <w:rsid w:val="005C6465"/>
    <w:rsid w:val="005D51FE"/>
    <w:rsid w:val="005D738B"/>
    <w:rsid w:val="005E2D72"/>
    <w:rsid w:val="005E3319"/>
    <w:rsid w:val="005F21B3"/>
    <w:rsid w:val="005F3A62"/>
    <w:rsid w:val="0060050A"/>
    <w:rsid w:val="00601BE5"/>
    <w:rsid w:val="00604344"/>
    <w:rsid w:val="0060486B"/>
    <w:rsid w:val="00610131"/>
    <w:rsid w:val="00623544"/>
    <w:rsid w:val="0062488D"/>
    <w:rsid w:val="00637194"/>
    <w:rsid w:val="006400D6"/>
    <w:rsid w:val="00660443"/>
    <w:rsid w:val="00673A3C"/>
    <w:rsid w:val="00675435"/>
    <w:rsid w:val="00680DCD"/>
    <w:rsid w:val="00693A8B"/>
    <w:rsid w:val="006A0A48"/>
    <w:rsid w:val="006A55FB"/>
    <w:rsid w:val="006C09D4"/>
    <w:rsid w:val="006D0AA7"/>
    <w:rsid w:val="006D227E"/>
    <w:rsid w:val="006D5DF3"/>
    <w:rsid w:val="006D6FD0"/>
    <w:rsid w:val="006E552B"/>
    <w:rsid w:val="007062CB"/>
    <w:rsid w:val="007100CB"/>
    <w:rsid w:val="0071187D"/>
    <w:rsid w:val="007159DD"/>
    <w:rsid w:val="00723E01"/>
    <w:rsid w:val="00726143"/>
    <w:rsid w:val="00731F64"/>
    <w:rsid w:val="00732D0B"/>
    <w:rsid w:val="00734138"/>
    <w:rsid w:val="007410E0"/>
    <w:rsid w:val="00742D31"/>
    <w:rsid w:val="00744E4A"/>
    <w:rsid w:val="007453EE"/>
    <w:rsid w:val="00746C6C"/>
    <w:rsid w:val="00753EF6"/>
    <w:rsid w:val="00754FE1"/>
    <w:rsid w:val="007666B7"/>
    <w:rsid w:val="00777606"/>
    <w:rsid w:val="0078185C"/>
    <w:rsid w:val="00784A27"/>
    <w:rsid w:val="007913B6"/>
    <w:rsid w:val="007977EE"/>
    <w:rsid w:val="007A3D44"/>
    <w:rsid w:val="007A6A25"/>
    <w:rsid w:val="007B0D37"/>
    <w:rsid w:val="007B37CA"/>
    <w:rsid w:val="007D0C74"/>
    <w:rsid w:val="007D1568"/>
    <w:rsid w:val="007D42F6"/>
    <w:rsid w:val="007D46F6"/>
    <w:rsid w:val="007E2436"/>
    <w:rsid w:val="007E7CD0"/>
    <w:rsid w:val="007F006B"/>
    <w:rsid w:val="007F241C"/>
    <w:rsid w:val="0080118A"/>
    <w:rsid w:val="008025A7"/>
    <w:rsid w:val="00802A8B"/>
    <w:rsid w:val="00813154"/>
    <w:rsid w:val="00822369"/>
    <w:rsid w:val="00822C68"/>
    <w:rsid w:val="008233A6"/>
    <w:rsid w:val="0082782F"/>
    <w:rsid w:val="00831F80"/>
    <w:rsid w:val="008325EF"/>
    <w:rsid w:val="0083277B"/>
    <w:rsid w:val="00834DD4"/>
    <w:rsid w:val="00834E6E"/>
    <w:rsid w:val="00835D40"/>
    <w:rsid w:val="008436CC"/>
    <w:rsid w:val="00847D93"/>
    <w:rsid w:val="00851748"/>
    <w:rsid w:val="00854098"/>
    <w:rsid w:val="008542AA"/>
    <w:rsid w:val="00854B28"/>
    <w:rsid w:val="0086029C"/>
    <w:rsid w:val="00860B2A"/>
    <w:rsid w:val="008615B7"/>
    <w:rsid w:val="008655D0"/>
    <w:rsid w:val="00871B2A"/>
    <w:rsid w:val="00871F5D"/>
    <w:rsid w:val="00873D7F"/>
    <w:rsid w:val="00873E41"/>
    <w:rsid w:val="00875557"/>
    <w:rsid w:val="00885F5A"/>
    <w:rsid w:val="00892886"/>
    <w:rsid w:val="008A5756"/>
    <w:rsid w:val="008A65FE"/>
    <w:rsid w:val="008B3F47"/>
    <w:rsid w:val="008B5035"/>
    <w:rsid w:val="008B5ECF"/>
    <w:rsid w:val="008B6335"/>
    <w:rsid w:val="008B78E6"/>
    <w:rsid w:val="008C06B2"/>
    <w:rsid w:val="008C2281"/>
    <w:rsid w:val="008C525E"/>
    <w:rsid w:val="008C6040"/>
    <w:rsid w:val="008C66A8"/>
    <w:rsid w:val="008D4B0B"/>
    <w:rsid w:val="008E1612"/>
    <w:rsid w:val="008F15BC"/>
    <w:rsid w:val="00902E38"/>
    <w:rsid w:val="00903682"/>
    <w:rsid w:val="00905C01"/>
    <w:rsid w:val="009063EE"/>
    <w:rsid w:val="00917655"/>
    <w:rsid w:val="0092311B"/>
    <w:rsid w:val="0092510B"/>
    <w:rsid w:val="00932E51"/>
    <w:rsid w:val="009377D8"/>
    <w:rsid w:val="00940E66"/>
    <w:rsid w:val="00942A1C"/>
    <w:rsid w:val="009541FE"/>
    <w:rsid w:val="009543CB"/>
    <w:rsid w:val="00956C91"/>
    <w:rsid w:val="009652B0"/>
    <w:rsid w:val="00980CDF"/>
    <w:rsid w:val="00990489"/>
    <w:rsid w:val="00991B06"/>
    <w:rsid w:val="00995CFE"/>
    <w:rsid w:val="00995E0A"/>
    <w:rsid w:val="009A140D"/>
    <w:rsid w:val="009A30BB"/>
    <w:rsid w:val="009A75B6"/>
    <w:rsid w:val="009B62A0"/>
    <w:rsid w:val="009D1F72"/>
    <w:rsid w:val="009E60C9"/>
    <w:rsid w:val="009F6116"/>
    <w:rsid w:val="00A044F2"/>
    <w:rsid w:val="00A04931"/>
    <w:rsid w:val="00A1023B"/>
    <w:rsid w:val="00A1691E"/>
    <w:rsid w:val="00A2115E"/>
    <w:rsid w:val="00A24747"/>
    <w:rsid w:val="00A32557"/>
    <w:rsid w:val="00A41850"/>
    <w:rsid w:val="00A45C7D"/>
    <w:rsid w:val="00A61EDA"/>
    <w:rsid w:val="00A63A98"/>
    <w:rsid w:val="00A64A45"/>
    <w:rsid w:val="00A65AAF"/>
    <w:rsid w:val="00A67AD4"/>
    <w:rsid w:val="00A75C8E"/>
    <w:rsid w:val="00A75F10"/>
    <w:rsid w:val="00A8395E"/>
    <w:rsid w:val="00A84740"/>
    <w:rsid w:val="00A8798A"/>
    <w:rsid w:val="00A96871"/>
    <w:rsid w:val="00AA0919"/>
    <w:rsid w:val="00AA1E87"/>
    <w:rsid w:val="00AD0EF6"/>
    <w:rsid w:val="00AD1A23"/>
    <w:rsid w:val="00AE1380"/>
    <w:rsid w:val="00AE5B1C"/>
    <w:rsid w:val="00AE66A1"/>
    <w:rsid w:val="00AE7E85"/>
    <w:rsid w:val="00AF510A"/>
    <w:rsid w:val="00AF658B"/>
    <w:rsid w:val="00B05821"/>
    <w:rsid w:val="00B118FB"/>
    <w:rsid w:val="00B160F7"/>
    <w:rsid w:val="00B270D2"/>
    <w:rsid w:val="00B50E99"/>
    <w:rsid w:val="00B5214F"/>
    <w:rsid w:val="00B530BD"/>
    <w:rsid w:val="00B649B6"/>
    <w:rsid w:val="00B65D9C"/>
    <w:rsid w:val="00B66A0A"/>
    <w:rsid w:val="00B73BAB"/>
    <w:rsid w:val="00B81B5C"/>
    <w:rsid w:val="00B82EF4"/>
    <w:rsid w:val="00B92D3B"/>
    <w:rsid w:val="00B93172"/>
    <w:rsid w:val="00B97F72"/>
    <w:rsid w:val="00BA1498"/>
    <w:rsid w:val="00BA3EEA"/>
    <w:rsid w:val="00BA45E4"/>
    <w:rsid w:val="00BB10DD"/>
    <w:rsid w:val="00BB664E"/>
    <w:rsid w:val="00BC0856"/>
    <w:rsid w:val="00BC428F"/>
    <w:rsid w:val="00BC61FA"/>
    <w:rsid w:val="00BE0212"/>
    <w:rsid w:val="00BE5F3A"/>
    <w:rsid w:val="00BF1E10"/>
    <w:rsid w:val="00BF502A"/>
    <w:rsid w:val="00BF7F87"/>
    <w:rsid w:val="00C01FA9"/>
    <w:rsid w:val="00C04E04"/>
    <w:rsid w:val="00C05BEC"/>
    <w:rsid w:val="00C11C60"/>
    <w:rsid w:val="00C22D04"/>
    <w:rsid w:val="00C27AC0"/>
    <w:rsid w:val="00C32906"/>
    <w:rsid w:val="00C355BE"/>
    <w:rsid w:val="00C40728"/>
    <w:rsid w:val="00C40A52"/>
    <w:rsid w:val="00C5279A"/>
    <w:rsid w:val="00C53B5E"/>
    <w:rsid w:val="00C656BC"/>
    <w:rsid w:val="00C66645"/>
    <w:rsid w:val="00C720E4"/>
    <w:rsid w:val="00C76677"/>
    <w:rsid w:val="00C84146"/>
    <w:rsid w:val="00C84E41"/>
    <w:rsid w:val="00C8669B"/>
    <w:rsid w:val="00CA086F"/>
    <w:rsid w:val="00CA1DDB"/>
    <w:rsid w:val="00CB4C7C"/>
    <w:rsid w:val="00CC74F8"/>
    <w:rsid w:val="00CD73EE"/>
    <w:rsid w:val="00CD7686"/>
    <w:rsid w:val="00CD7BE0"/>
    <w:rsid w:val="00CE1DFD"/>
    <w:rsid w:val="00D00DAD"/>
    <w:rsid w:val="00D02886"/>
    <w:rsid w:val="00D04423"/>
    <w:rsid w:val="00D0653B"/>
    <w:rsid w:val="00D11D68"/>
    <w:rsid w:val="00D145AB"/>
    <w:rsid w:val="00D1711E"/>
    <w:rsid w:val="00D2568F"/>
    <w:rsid w:val="00D33E6A"/>
    <w:rsid w:val="00D40FAE"/>
    <w:rsid w:val="00D4190D"/>
    <w:rsid w:val="00D43686"/>
    <w:rsid w:val="00D470CB"/>
    <w:rsid w:val="00D56FB0"/>
    <w:rsid w:val="00D6427E"/>
    <w:rsid w:val="00D64FC0"/>
    <w:rsid w:val="00D6792B"/>
    <w:rsid w:val="00D72522"/>
    <w:rsid w:val="00D738E1"/>
    <w:rsid w:val="00D74E46"/>
    <w:rsid w:val="00D80FEE"/>
    <w:rsid w:val="00D86D6E"/>
    <w:rsid w:val="00D96F70"/>
    <w:rsid w:val="00DA0054"/>
    <w:rsid w:val="00DA0423"/>
    <w:rsid w:val="00DA1C12"/>
    <w:rsid w:val="00DA607D"/>
    <w:rsid w:val="00DB1DFD"/>
    <w:rsid w:val="00DB2D36"/>
    <w:rsid w:val="00DC3453"/>
    <w:rsid w:val="00DC4DEF"/>
    <w:rsid w:val="00DC6DCB"/>
    <w:rsid w:val="00DD1D96"/>
    <w:rsid w:val="00DD3ADD"/>
    <w:rsid w:val="00DD4EA3"/>
    <w:rsid w:val="00DE78F3"/>
    <w:rsid w:val="00DF2A37"/>
    <w:rsid w:val="00DF6D05"/>
    <w:rsid w:val="00E01B56"/>
    <w:rsid w:val="00E03F4E"/>
    <w:rsid w:val="00E14C68"/>
    <w:rsid w:val="00E16595"/>
    <w:rsid w:val="00E31D82"/>
    <w:rsid w:val="00E416AD"/>
    <w:rsid w:val="00E420B6"/>
    <w:rsid w:val="00E44FF1"/>
    <w:rsid w:val="00E533DE"/>
    <w:rsid w:val="00E54DE8"/>
    <w:rsid w:val="00E746D1"/>
    <w:rsid w:val="00E76A89"/>
    <w:rsid w:val="00E840DA"/>
    <w:rsid w:val="00E90A12"/>
    <w:rsid w:val="00E915DE"/>
    <w:rsid w:val="00E96767"/>
    <w:rsid w:val="00EA616B"/>
    <w:rsid w:val="00EA690C"/>
    <w:rsid w:val="00EA69AB"/>
    <w:rsid w:val="00EB1CA0"/>
    <w:rsid w:val="00EC6B47"/>
    <w:rsid w:val="00EC737A"/>
    <w:rsid w:val="00ED6CF1"/>
    <w:rsid w:val="00EE23AC"/>
    <w:rsid w:val="00EF0BA4"/>
    <w:rsid w:val="00EF27E0"/>
    <w:rsid w:val="00EF7010"/>
    <w:rsid w:val="00EF72C3"/>
    <w:rsid w:val="00F02D67"/>
    <w:rsid w:val="00F05480"/>
    <w:rsid w:val="00F0577C"/>
    <w:rsid w:val="00F05B4A"/>
    <w:rsid w:val="00F05C33"/>
    <w:rsid w:val="00F11A83"/>
    <w:rsid w:val="00F12194"/>
    <w:rsid w:val="00F277C7"/>
    <w:rsid w:val="00F27A0A"/>
    <w:rsid w:val="00F308F9"/>
    <w:rsid w:val="00F329F3"/>
    <w:rsid w:val="00F33FFB"/>
    <w:rsid w:val="00F451FF"/>
    <w:rsid w:val="00F45D86"/>
    <w:rsid w:val="00F5379C"/>
    <w:rsid w:val="00F60DD4"/>
    <w:rsid w:val="00F61F97"/>
    <w:rsid w:val="00F626F6"/>
    <w:rsid w:val="00F676DB"/>
    <w:rsid w:val="00F73B7C"/>
    <w:rsid w:val="00F77763"/>
    <w:rsid w:val="00F81DBD"/>
    <w:rsid w:val="00F95F9F"/>
    <w:rsid w:val="00F97EB0"/>
    <w:rsid w:val="00FA2DD0"/>
    <w:rsid w:val="00FA4C98"/>
    <w:rsid w:val="00FB0EB7"/>
    <w:rsid w:val="00FB5A7B"/>
    <w:rsid w:val="00FB698A"/>
    <w:rsid w:val="00FC3969"/>
    <w:rsid w:val="00FD005D"/>
    <w:rsid w:val="00FD531F"/>
    <w:rsid w:val="00FD7C56"/>
    <w:rsid w:val="00FD7D8E"/>
    <w:rsid w:val="00FE6B80"/>
    <w:rsid w:val="00FF7E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11FC8ACE"/>
  <w15:docId w15:val="{4C5E3AD0-02E3-47F2-9112-3BD960DE5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04931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A1E8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A1E8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A1E8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A1E8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A1E8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73D5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73D5F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854B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4B28"/>
  </w:style>
  <w:style w:type="paragraph" w:styleId="Stopka">
    <w:name w:val="footer"/>
    <w:basedOn w:val="Normalny"/>
    <w:link w:val="StopkaZnak"/>
    <w:uiPriority w:val="99"/>
    <w:unhideWhenUsed/>
    <w:rsid w:val="00854B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4B28"/>
  </w:style>
  <w:style w:type="paragraph" w:customStyle="1" w:styleId="nazwaprojektu">
    <w:name w:val="nazwa_projektu"/>
    <w:link w:val="nazwaprojektuZnak"/>
    <w:qFormat/>
    <w:rsid w:val="00854B28"/>
    <w:pPr>
      <w:tabs>
        <w:tab w:val="left" w:pos="1650"/>
      </w:tabs>
      <w:spacing w:after="160" w:line="259" w:lineRule="auto"/>
      <w:jc w:val="center"/>
    </w:pPr>
    <w:rPr>
      <w:rFonts w:ascii="PT Sans" w:hAnsi="PT Sans"/>
      <w:sz w:val="20"/>
    </w:rPr>
  </w:style>
  <w:style w:type="character" w:customStyle="1" w:styleId="nazwaprojektuZnak">
    <w:name w:val="nazwa_projektu Znak"/>
    <w:basedOn w:val="NagwekZnak"/>
    <w:link w:val="nazwaprojektu"/>
    <w:rsid w:val="00854B28"/>
    <w:rPr>
      <w:rFonts w:ascii="PT Sans" w:hAnsi="PT Sans"/>
      <w:sz w:val="20"/>
    </w:rPr>
  </w:style>
  <w:style w:type="table" w:customStyle="1" w:styleId="Tabela-Siatka1">
    <w:name w:val="Tabela - Siatka1"/>
    <w:basedOn w:val="Standardowy"/>
    <w:next w:val="Tabela-Siatka"/>
    <w:uiPriority w:val="59"/>
    <w:rsid w:val="00854B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854B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680DCD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styleId="Pogrubienie">
    <w:name w:val="Strong"/>
    <w:basedOn w:val="Domylnaczcionkaakapitu"/>
    <w:uiPriority w:val="22"/>
    <w:qFormat/>
    <w:rsid w:val="00680DC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2278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76EEBC-B081-43B5-A39D-A49D8C444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1308</Words>
  <Characters>7852</Characters>
  <Application>Microsoft Office Word</Application>
  <DocSecurity>4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CEM</dc:creator>
  <cp:keywords/>
  <dc:description/>
  <cp:lastModifiedBy>Ewa Słowik</cp:lastModifiedBy>
  <cp:revision>2</cp:revision>
  <dcterms:created xsi:type="dcterms:W3CDTF">2024-12-16T10:40:00Z</dcterms:created>
  <dcterms:modified xsi:type="dcterms:W3CDTF">2024-12-16T10:40:00Z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ew0KICAiZG9jSUQiOiAiZmU3NWQ0N2YtMzBlZi00OWIzLWIxNWEtZmZkNjk1MzA5ODk3Ig0KfQ==</vt:lpwstr>
  </property>
  <property fmtid="{D5CDD505-2E9C-101B-9397-08002B2CF9AE}" pid="3" name="GVData0">
    <vt:lpwstr>(end)</vt:lpwstr>
  </property>
</Properties>
</file>