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16E0" w14:textId="25541DB5" w:rsidR="00994CB9" w:rsidRPr="004557EC" w:rsidRDefault="00994CB9" w:rsidP="00994CB9">
      <w:pPr>
        <w:jc w:val="right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4557EC">
        <w:rPr>
          <w:rFonts w:ascii="Arial" w:hAnsi="Arial" w:cs="Arial"/>
          <w:b/>
          <w:sz w:val="20"/>
          <w:szCs w:val="20"/>
        </w:rPr>
        <w:t>Załącznik nr 2</w:t>
      </w:r>
    </w:p>
    <w:p w14:paraId="31895C41" w14:textId="77777777" w:rsidR="00994CB9" w:rsidRPr="004557EC" w:rsidRDefault="00994CB9" w:rsidP="00994C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DA4EB06" w14:textId="2753E6E7" w:rsidR="00994CB9" w:rsidRPr="00EA217B" w:rsidRDefault="00994CB9" w:rsidP="00EA217B">
      <w:pPr>
        <w:ind w:left="4956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 </w:t>
      </w:r>
      <w:r w:rsidR="00EF428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Wniosek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nr </w:t>
      </w:r>
      <w:r w:rsidR="00C12F3B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81621D">
        <w:rPr>
          <w:rFonts w:ascii="Arial" w:hAnsi="Arial" w:cs="Arial"/>
          <w:i/>
          <w:iCs/>
          <w:color w:val="000000" w:themeColor="text1"/>
          <w:sz w:val="20"/>
          <w:szCs w:val="20"/>
        </w:rPr>
        <w:t>Wn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/WAPW/0</w:t>
      </w:r>
      <w:r w:rsidR="007502FD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="00EA217B" w:rsidRPr="00EA217B">
        <w:rPr>
          <w:rFonts w:ascii="Arial" w:hAnsi="Arial" w:cs="Arial"/>
          <w:i/>
          <w:iCs/>
          <w:color w:val="000000" w:themeColor="text1"/>
          <w:sz w:val="20"/>
          <w:szCs w:val="20"/>
        </w:rPr>
        <w:t>/PN/PZP/202</w:t>
      </w:r>
      <w:r w:rsidR="00E67C40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</w:p>
    <w:p w14:paraId="3AD934F9" w14:textId="0DD7DFFE" w:rsidR="00994CB9" w:rsidRDefault="00994CB9" w:rsidP="00EA217B">
      <w:pPr>
        <w:tabs>
          <w:tab w:val="left" w:pos="720"/>
        </w:tabs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557EC"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D20882">
        <w:rPr>
          <w:rFonts w:ascii="Arial" w:hAnsi="Arial" w:cs="Arial"/>
          <w:b/>
          <w:bCs/>
          <w:sz w:val="20"/>
          <w:szCs w:val="20"/>
        </w:rPr>
        <w:t>sprzętu IT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 xml:space="preserve"> dla Wydziału Architektury Politechniki Warszawskiej</w:t>
      </w:r>
      <w:r w:rsidRPr="004557EC">
        <w:rPr>
          <w:rFonts w:ascii="Arial" w:hAnsi="Arial" w:cs="Arial"/>
          <w:b/>
          <w:bCs/>
          <w:sz w:val="20"/>
          <w:szCs w:val="20"/>
        </w:rPr>
        <w:t xml:space="preserve">, </w:t>
      </w:r>
      <w:bookmarkStart w:id="3" w:name="_Hlk83723942"/>
      <w:r w:rsidRPr="004557EC">
        <w:rPr>
          <w:rFonts w:ascii="Arial" w:hAnsi="Arial" w:cs="Arial"/>
          <w:b/>
          <w:bCs/>
          <w:sz w:val="20"/>
          <w:szCs w:val="20"/>
        </w:rPr>
        <w:t xml:space="preserve">znak sprawy </w:t>
      </w:r>
      <w:bookmarkEnd w:id="3"/>
      <w:r w:rsidR="00EA217B" w:rsidRPr="00EA217B">
        <w:rPr>
          <w:rFonts w:ascii="Arial" w:hAnsi="Arial" w:cs="Arial"/>
          <w:b/>
          <w:bCs/>
          <w:sz w:val="20"/>
          <w:szCs w:val="20"/>
        </w:rPr>
        <w:t>WAPW/0</w:t>
      </w:r>
      <w:r w:rsidR="007502FD">
        <w:rPr>
          <w:rFonts w:ascii="Arial" w:hAnsi="Arial" w:cs="Arial"/>
          <w:b/>
          <w:bCs/>
          <w:sz w:val="20"/>
          <w:szCs w:val="20"/>
        </w:rPr>
        <w:t>4</w:t>
      </w:r>
      <w:r w:rsidR="00EA217B" w:rsidRPr="00EA217B">
        <w:rPr>
          <w:rFonts w:ascii="Arial" w:hAnsi="Arial" w:cs="Arial"/>
          <w:b/>
          <w:bCs/>
          <w:sz w:val="20"/>
          <w:szCs w:val="20"/>
        </w:rPr>
        <w:t>/PN/PZP/202</w:t>
      </w:r>
      <w:r w:rsidR="00E67C40">
        <w:rPr>
          <w:rFonts w:ascii="Arial" w:hAnsi="Arial" w:cs="Arial"/>
          <w:b/>
          <w:bCs/>
          <w:sz w:val="20"/>
          <w:szCs w:val="20"/>
        </w:rPr>
        <w:t>3</w:t>
      </w:r>
      <w:r w:rsidR="00EA217B">
        <w:rPr>
          <w:rFonts w:ascii="Arial" w:hAnsi="Arial" w:cs="Arial"/>
          <w:b/>
          <w:bCs/>
          <w:sz w:val="20"/>
          <w:szCs w:val="20"/>
        </w:rPr>
        <w:t>.</w:t>
      </w:r>
    </w:p>
    <w:p w14:paraId="73F18E6F" w14:textId="77777777" w:rsidR="00EA217B" w:rsidRPr="004557EC" w:rsidRDefault="00EA217B" w:rsidP="00EA217B">
      <w:pPr>
        <w:tabs>
          <w:tab w:val="left" w:pos="720"/>
        </w:tabs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2196D3" w14:textId="4E35F3BC" w:rsidR="002C1A79" w:rsidRDefault="00B73BBD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GAŚNICE: </w:t>
      </w:r>
    </w:p>
    <w:p w14:paraId="06D4432D" w14:textId="1821BA97" w:rsidR="00B73BBD" w:rsidRDefault="00B73BBD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0FFF0E5" w14:textId="55C96A51" w:rsidR="00B73BBD" w:rsidRDefault="00B73BBD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B007932" w14:textId="77777777" w:rsidR="00B73BBD" w:rsidRDefault="00B73BBD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38BFCF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608CA9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bookmarkEnd w:id="0"/>
    <w:bookmarkEnd w:id="1"/>
    <w:bookmarkEnd w:id="2"/>
    <w:p w14:paraId="058A4AAE" w14:textId="77777777" w:rsidR="00B73BBD" w:rsidRDefault="00B73BBD" w:rsidP="00B73BBD">
      <w:pPr>
        <w:jc w:val="center"/>
        <w:rPr>
          <w:b/>
          <w:u w:val="single"/>
        </w:rPr>
      </w:pPr>
      <w:r w:rsidRPr="004E7369">
        <w:rPr>
          <w:b/>
          <w:u w:val="single"/>
        </w:rPr>
        <w:t>OPIS PRZEDMIOTU ZAMÓWIENIA</w:t>
      </w:r>
    </w:p>
    <w:p w14:paraId="255FB760" w14:textId="77777777" w:rsidR="00B73BBD" w:rsidRPr="007153F0" w:rsidRDefault="00B73BBD" w:rsidP="00B73BBD">
      <w:pPr>
        <w:jc w:val="center"/>
        <w:rPr>
          <w:b/>
        </w:rPr>
      </w:pPr>
      <w:bookmarkStart w:id="4" w:name="_GoBack"/>
      <w:bookmarkEnd w:id="4"/>
      <w:r w:rsidRPr="00B73BBD">
        <w:rPr>
          <w:b/>
        </w:rPr>
        <w:t>Wymagania minimalne odnośnie gaśnicy:</w:t>
      </w:r>
    </w:p>
    <w:p w14:paraId="640AA042" w14:textId="77777777" w:rsidR="00B73BBD" w:rsidRDefault="00B73BBD" w:rsidP="00B73BBD">
      <w:pPr>
        <w:jc w:val="center"/>
        <w:rPr>
          <w:b/>
          <w:u w:val="single"/>
        </w:rPr>
      </w:pPr>
    </w:p>
    <w:p w14:paraId="06B301A3" w14:textId="77777777" w:rsidR="00B73BBD" w:rsidRDefault="00B73BBD" w:rsidP="00B73BBD">
      <w:pPr>
        <w:pStyle w:val="Akapitzlist"/>
        <w:numPr>
          <w:ilvl w:val="0"/>
          <w:numId w:val="10"/>
        </w:numPr>
        <w:overflowPunct/>
        <w:spacing w:after="160" w:line="259" w:lineRule="auto"/>
      </w:pPr>
      <w:r>
        <w:t>Skuteczność gaszenia: 55A 233B C</w:t>
      </w:r>
    </w:p>
    <w:p w14:paraId="1C526EC8" w14:textId="77777777" w:rsidR="00B73BBD" w:rsidRDefault="00B73BBD" w:rsidP="00B73BBD">
      <w:pPr>
        <w:pStyle w:val="Akapitzlist"/>
        <w:numPr>
          <w:ilvl w:val="0"/>
          <w:numId w:val="10"/>
        </w:numPr>
        <w:overflowPunct/>
        <w:spacing w:after="160" w:line="259" w:lineRule="auto"/>
      </w:pPr>
      <w:r>
        <w:t>Masa środka gaśniczego: 6 kg</w:t>
      </w:r>
    </w:p>
    <w:p w14:paraId="2170BAB6" w14:textId="77777777" w:rsidR="00B73BBD" w:rsidRDefault="00B73BBD" w:rsidP="00B73BBD">
      <w:pPr>
        <w:pStyle w:val="Akapitzlist"/>
        <w:numPr>
          <w:ilvl w:val="0"/>
          <w:numId w:val="10"/>
        </w:numPr>
        <w:overflowPunct/>
        <w:spacing w:after="160" w:line="259" w:lineRule="auto"/>
      </w:pPr>
      <w:r>
        <w:t>Czynnik roboczy: N2</w:t>
      </w:r>
    </w:p>
    <w:p w14:paraId="7CB7999A" w14:textId="77777777" w:rsidR="00B73BBD" w:rsidRDefault="00B73BBD" w:rsidP="00B73BBD">
      <w:pPr>
        <w:pStyle w:val="Akapitzlist"/>
        <w:numPr>
          <w:ilvl w:val="0"/>
          <w:numId w:val="10"/>
        </w:numPr>
        <w:overflowPunct/>
        <w:spacing w:after="160" w:line="259" w:lineRule="auto"/>
      </w:pPr>
      <w:r>
        <w:t>Czas działania: min. 15 s</w:t>
      </w:r>
    </w:p>
    <w:p w14:paraId="2A8C9FB5" w14:textId="77777777" w:rsidR="00B73BBD" w:rsidRDefault="00B73BBD" w:rsidP="00B73BBD">
      <w:pPr>
        <w:pStyle w:val="Akapitzlist"/>
        <w:numPr>
          <w:ilvl w:val="0"/>
          <w:numId w:val="10"/>
        </w:numPr>
        <w:overflowPunct/>
        <w:spacing w:after="160" w:line="259" w:lineRule="auto"/>
      </w:pPr>
      <w:r>
        <w:t>Ciśnienie próbne: 27 bar</w:t>
      </w:r>
    </w:p>
    <w:p w14:paraId="6FD7B8D8" w14:textId="77777777" w:rsidR="00B73BBD" w:rsidRDefault="00B73BBD" w:rsidP="00B73BBD">
      <w:pPr>
        <w:pStyle w:val="Akapitzlist"/>
        <w:numPr>
          <w:ilvl w:val="0"/>
          <w:numId w:val="10"/>
        </w:numPr>
        <w:overflowPunct/>
        <w:spacing w:after="160" w:line="259" w:lineRule="auto"/>
      </w:pPr>
      <w:r>
        <w:t>Ciśnienie robocze: 15 bar</w:t>
      </w:r>
    </w:p>
    <w:p w14:paraId="41DB2B5B" w14:textId="77777777" w:rsidR="00B73BBD" w:rsidRDefault="00B73BBD" w:rsidP="00B73BBD">
      <w:pPr>
        <w:pStyle w:val="Akapitzlist"/>
        <w:numPr>
          <w:ilvl w:val="0"/>
          <w:numId w:val="10"/>
        </w:numPr>
        <w:overflowPunct/>
        <w:spacing w:after="160" w:line="259" w:lineRule="auto"/>
      </w:pPr>
      <w:r>
        <w:t>Zakres temperatur stosowania: -30 °C / +60 °C</w:t>
      </w:r>
    </w:p>
    <w:p w14:paraId="101B29B0" w14:textId="77777777" w:rsidR="00B73BBD" w:rsidRDefault="00B73BBD" w:rsidP="00B73BBD">
      <w:pPr>
        <w:pStyle w:val="Akapitzlist"/>
        <w:numPr>
          <w:ilvl w:val="0"/>
          <w:numId w:val="10"/>
        </w:numPr>
        <w:overflowPunct/>
        <w:spacing w:after="160" w:line="259" w:lineRule="auto"/>
      </w:pPr>
      <w:r>
        <w:t>Masa całkowita: ~9,3 kg</w:t>
      </w:r>
    </w:p>
    <w:p w14:paraId="7D1B006D" w14:textId="77777777" w:rsidR="00B73BBD" w:rsidRDefault="00B73BBD" w:rsidP="00B73BBD">
      <w:pPr>
        <w:pStyle w:val="Akapitzlist"/>
        <w:numPr>
          <w:ilvl w:val="0"/>
          <w:numId w:val="10"/>
        </w:numPr>
        <w:overflowPunct/>
        <w:spacing w:after="160" w:line="259" w:lineRule="auto"/>
      </w:pPr>
      <w:r>
        <w:t>Maks. napięcie gaszonego urządzenia: 1000 V, 245 000 V</w:t>
      </w:r>
    </w:p>
    <w:p w14:paraId="0FEC5E58" w14:textId="77777777" w:rsidR="00B73BBD" w:rsidRDefault="00B73BBD" w:rsidP="00B73BBD">
      <w:pPr>
        <w:pStyle w:val="Akapitzlist"/>
        <w:numPr>
          <w:ilvl w:val="0"/>
          <w:numId w:val="9"/>
        </w:numPr>
        <w:overflowPunct/>
        <w:spacing w:after="160" w:line="259" w:lineRule="auto"/>
      </w:pPr>
      <w:r>
        <w:t>zawór odcinający za wskaźnikiem ciśnienia ułatwia kontrolę gaśnicy</w:t>
      </w:r>
    </w:p>
    <w:p w14:paraId="79EC1C79" w14:textId="77777777" w:rsidR="00B73BBD" w:rsidRDefault="00B73BBD" w:rsidP="00B73BBD">
      <w:pPr>
        <w:pStyle w:val="Akapitzlist"/>
        <w:numPr>
          <w:ilvl w:val="0"/>
          <w:numId w:val="9"/>
        </w:numPr>
        <w:overflowPunct/>
        <w:spacing w:after="160" w:line="259" w:lineRule="auto"/>
      </w:pPr>
      <w:r>
        <w:t>konstrukcja zaworu umożliwia czasowe zawieszenie gaszenia</w:t>
      </w:r>
    </w:p>
    <w:p w14:paraId="720D4B3C" w14:textId="77777777" w:rsidR="00B73BBD" w:rsidRDefault="00B73BBD" w:rsidP="00B73BBD">
      <w:pPr>
        <w:pStyle w:val="Akapitzlist"/>
        <w:numPr>
          <w:ilvl w:val="0"/>
          <w:numId w:val="9"/>
        </w:numPr>
        <w:overflowPunct/>
        <w:spacing w:after="160" w:line="259" w:lineRule="auto"/>
      </w:pPr>
      <w:r>
        <w:t>zbiornik gaśnicy nie wymaga kontrolnych badań UDT</w:t>
      </w:r>
    </w:p>
    <w:p w14:paraId="030C319D" w14:textId="77777777" w:rsidR="00B73BBD" w:rsidRDefault="00B73BBD" w:rsidP="00B73BBD">
      <w:pPr>
        <w:pStyle w:val="Akapitzlist"/>
        <w:numPr>
          <w:ilvl w:val="0"/>
          <w:numId w:val="9"/>
        </w:numPr>
        <w:overflowPunct/>
        <w:spacing w:after="160" w:line="259" w:lineRule="auto"/>
      </w:pPr>
      <w:r>
        <w:t>możliwość wielokrotnego napełniania</w:t>
      </w:r>
    </w:p>
    <w:p w14:paraId="05D80E68" w14:textId="77777777" w:rsidR="00B73BBD" w:rsidRDefault="00B73BBD" w:rsidP="00B73BBD">
      <w:pPr>
        <w:pStyle w:val="Akapitzlist"/>
        <w:numPr>
          <w:ilvl w:val="0"/>
          <w:numId w:val="9"/>
        </w:numPr>
        <w:overflowPunct/>
        <w:spacing w:after="160" w:line="259" w:lineRule="auto"/>
      </w:pPr>
      <w:r>
        <w:t>zbiornik gaśnicy pokryty farbą poliestrową odporną na promienie UV</w:t>
      </w:r>
    </w:p>
    <w:p w14:paraId="4CAD725E" w14:textId="77777777" w:rsidR="00B73BBD" w:rsidRDefault="00B73BBD" w:rsidP="00B73BBD">
      <w:pPr>
        <w:pStyle w:val="Akapitzlist"/>
        <w:numPr>
          <w:ilvl w:val="0"/>
          <w:numId w:val="9"/>
        </w:numPr>
        <w:overflowPunct/>
        <w:spacing w:after="160" w:line="259" w:lineRule="auto"/>
      </w:pPr>
      <w:r>
        <w:t>wnętrze zbiornika zabezpieczone powłoką antykorozyjną</w:t>
      </w:r>
    </w:p>
    <w:p w14:paraId="35094EAA" w14:textId="77777777" w:rsidR="00B73BBD" w:rsidRDefault="00B73BBD" w:rsidP="00B73BBD"/>
    <w:p w14:paraId="411BA819" w14:textId="77777777" w:rsidR="00B73BBD" w:rsidRDefault="00B73BBD" w:rsidP="00B73BBD">
      <w:r>
        <w:t>Produkowana zgodnie z wymaganiami rynku krajowego i unijnego w oparciu o certyfikaty systemu jakości ISO 9001. Spełnia wymagania normy europejskiej EN3 oraz Dyrektywy Bezpieczeństwa PED 2014/68/UE.</w:t>
      </w:r>
    </w:p>
    <w:p w14:paraId="5D0CA6D7" w14:textId="77777777" w:rsidR="00B73BBD" w:rsidRPr="004E7369" w:rsidRDefault="00B73BBD" w:rsidP="00B73BBD"/>
    <w:p w14:paraId="76584CD6" w14:textId="77777777" w:rsidR="00443C7B" w:rsidRPr="009F1E55" w:rsidRDefault="00443C7B" w:rsidP="009F1E55">
      <w:pPr>
        <w:jc w:val="center"/>
        <w:rPr>
          <w:rFonts w:ascii="Arial" w:hAnsi="Arial" w:cs="Arial"/>
          <w:b/>
          <w:sz w:val="20"/>
          <w:szCs w:val="20"/>
        </w:rPr>
      </w:pPr>
    </w:p>
    <w:sectPr w:rsidR="00443C7B" w:rsidRPr="009F1E55">
      <w:head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5BBA2" w14:textId="77777777" w:rsidR="00321918" w:rsidRDefault="00321918">
      <w:pPr>
        <w:spacing w:after="0" w:line="240" w:lineRule="auto"/>
      </w:pPr>
      <w:r>
        <w:separator/>
      </w:r>
    </w:p>
  </w:endnote>
  <w:endnote w:type="continuationSeparator" w:id="0">
    <w:p w14:paraId="39CEA7A1" w14:textId="77777777" w:rsidR="00321918" w:rsidRDefault="0032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Yu Gothic UI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A1B5" w14:textId="77777777" w:rsidR="00321918" w:rsidRDefault="00321918">
      <w:r>
        <w:separator/>
      </w:r>
    </w:p>
  </w:footnote>
  <w:footnote w:type="continuationSeparator" w:id="0">
    <w:p w14:paraId="12126EAC" w14:textId="77777777" w:rsidR="00321918" w:rsidRDefault="0032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A63E" w14:textId="3132F12C" w:rsidR="004C758D" w:rsidRDefault="004C758D">
    <w:pPr>
      <w:pStyle w:val="Nagwek"/>
    </w:pPr>
  </w:p>
  <w:p w14:paraId="0A5AF4DD" w14:textId="5E706786" w:rsidR="004C758D" w:rsidRDefault="004C758D">
    <w:pPr>
      <w:pStyle w:val="Nagwek"/>
    </w:pPr>
  </w:p>
  <w:p w14:paraId="19406416" w14:textId="66A11A71" w:rsidR="004C758D" w:rsidRDefault="004C758D">
    <w:pPr>
      <w:pStyle w:val="Nagwek"/>
    </w:pPr>
  </w:p>
  <w:p w14:paraId="4B7559E2" w14:textId="70060FC9" w:rsidR="004C758D" w:rsidRDefault="004C758D">
    <w:pPr>
      <w:pStyle w:val="Nagwek"/>
    </w:pPr>
  </w:p>
  <w:p w14:paraId="3398864F" w14:textId="6A280264" w:rsidR="004C758D" w:rsidRDefault="004C758D">
    <w:pPr>
      <w:pStyle w:val="Nagwek"/>
      <w:rPr>
        <w:color w:val="000000" w:themeColor="text1"/>
      </w:rPr>
    </w:pPr>
    <w:r w:rsidRPr="00EF428B">
      <w:rPr>
        <w:color w:val="000000" w:themeColor="text1"/>
      </w:rPr>
      <w:t>znak sprawy WAPW/0</w:t>
    </w:r>
    <w:r w:rsidR="007502FD">
      <w:rPr>
        <w:color w:val="000000" w:themeColor="text1"/>
      </w:rPr>
      <w:t>4</w:t>
    </w:r>
    <w:r w:rsidRPr="00EF428B">
      <w:rPr>
        <w:color w:val="000000" w:themeColor="text1"/>
      </w:rPr>
      <w:t>/PN/PZP/202</w:t>
    </w:r>
    <w:r>
      <w:rPr>
        <w:color w:val="000000" w:themeColor="text1"/>
      </w:rPr>
      <w:t>3</w:t>
    </w:r>
  </w:p>
  <w:p w14:paraId="4857AA7D" w14:textId="663451A1" w:rsidR="004C758D" w:rsidRDefault="004C758D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82C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8469E4"/>
    <w:multiLevelType w:val="multilevel"/>
    <w:tmpl w:val="1E805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CE4180"/>
    <w:multiLevelType w:val="hybridMultilevel"/>
    <w:tmpl w:val="1594191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93A1E21"/>
    <w:multiLevelType w:val="hybridMultilevel"/>
    <w:tmpl w:val="6A828D50"/>
    <w:lvl w:ilvl="0" w:tplc="4BF8E4FE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7E77"/>
    <w:multiLevelType w:val="hybridMultilevel"/>
    <w:tmpl w:val="2AD8E976"/>
    <w:lvl w:ilvl="0" w:tplc="2172730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E0C5F"/>
    <w:multiLevelType w:val="hybridMultilevel"/>
    <w:tmpl w:val="619E53BC"/>
    <w:lvl w:ilvl="0" w:tplc="A9C4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03DD"/>
    <w:multiLevelType w:val="hybridMultilevel"/>
    <w:tmpl w:val="98E4FB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90C7434"/>
    <w:multiLevelType w:val="hybridMultilevel"/>
    <w:tmpl w:val="A110505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2937269"/>
    <w:multiLevelType w:val="multilevel"/>
    <w:tmpl w:val="E5C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3C4CEF"/>
    <w:multiLevelType w:val="multilevel"/>
    <w:tmpl w:val="4B5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2F1968"/>
    <w:multiLevelType w:val="hybridMultilevel"/>
    <w:tmpl w:val="E83E510C"/>
    <w:lvl w:ilvl="0" w:tplc="5574D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F060F"/>
    <w:multiLevelType w:val="hybridMultilevel"/>
    <w:tmpl w:val="4E824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87AA8"/>
    <w:multiLevelType w:val="multilevel"/>
    <w:tmpl w:val="BD005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B50BE"/>
    <w:multiLevelType w:val="multilevel"/>
    <w:tmpl w:val="7DFA7790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A3B53AD"/>
    <w:multiLevelType w:val="hybridMultilevel"/>
    <w:tmpl w:val="974843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40853EF"/>
    <w:multiLevelType w:val="hybridMultilevel"/>
    <w:tmpl w:val="660EA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747DF"/>
    <w:multiLevelType w:val="multilevel"/>
    <w:tmpl w:val="D4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E46FBE"/>
    <w:multiLevelType w:val="multilevel"/>
    <w:tmpl w:val="34F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C41C60"/>
    <w:multiLevelType w:val="multilevel"/>
    <w:tmpl w:val="9F30A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6"/>
  </w:num>
  <w:num w:numId="8">
    <w:abstractNumId w:val="14"/>
  </w:num>
  <w:num w:numId="9">
    <w:abstractNumId w:val="1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F"/>
    <w:rsid w:val="00023FE5"/>
    <w:rsid w:val="0002524B"/>
    <w:rsid w:val="000374E5"/>
    <w:rsid w:val="0004220A"/>
    <w:rsid w:val="00045F15"/>
    <w:rsid w:val="00057B0E"/>
    <w:rsid w:val="00082273"/>
    <w:rsid w:val="000A2C26"/>
    <w:rsid w:val="000A6E64"/>
    <w:rsid w:val="000B330B"/>
    <w:rsid w:val="000B4D2A"/>
    <w:rsid w:val="000B7F0F"/>
    <w:rsid w:val="000C0925"/>
    <w:rsid w:val="000C0E18"/>
    <w:rsid w:val="000F6195"/>
    <w:rsid w:val="00122ACC"/>
    <w:rsid w:val="001360A8"/>
    <w:rsid w:val="001821EA"/>
    <w:rsid w:val="001848B2"/>
    <w:rsid w:val="001A0417"/>
    <w:rsid w:val="001A0F4D"/>
    <w:rsid w:val="001A16A3"/>
    <w:rsid w:val="001B3AAB"/>
    <w:rsid w:val="001C4D6A"/>
    <w:rsid w:val="001D0A21"/>
    <w:rsid w:val="001D6360"/>
    <w:rsid w:val="001D7EB2"/>
    <w:rsid w:val="001F0D2B"/>
    <w:rsid w:val="00220C65"/>
    <w:rsid w:val="00222597"/>
    <w:rsid w:val="00224D20"/>
    <w:rsid w:val="002258E4"/>
    <w:rsid w:val="00260920"/>
    <w:rsid w:val="00276B47"/>
    <w:rsid w:val="002779E3"/>
    <w:rsid w:val="00295542"/>
    <w:rsid w:val="002B4B4E"/>
    <w:rsid w:val="002C1A79"/>
    <w:rsid w:val="002C2761"/>
    <w:rsid w:val="002D1F35"/>
    <w:rsid w:val="002D60A7"/>
    <w:rsid w:val="002E047D"/>
    <w:rsid w:val="002E05BA"/>
    <w:rsid w:val="002E44E6"/>
    <w:rsid w:val="002E7DCC"/>
    <w:rsid w:val="00302E13"/>
    <w:rsid w:val="00305E59"/>
    <w:rsid w:val="00310E79"/>
    <w:rsid w:val="00311CE0"/>
    <w:rsid w:val="0031398A"/>
    <w:rsid w:val="0031693C"/>
    <w:rsid w:val="00321918"/>
    <w:rsid w:val="00322040"/>
    <w:rsid w:val="00337449"/>
    <w:rsid w:val="0034502B"/>
    <w:rsid w:val="00350A5F"/>
    <w:rsid w:val="003526D5"/>
    <w:rsid w:val="0035409C"/>
    <w:rsid w:val="00357F80"/>
    <w:rsid w:val="00360D2C"/>
    <w:rsid w:val="00361E3C"/>
    <w:rsid w:val="003630BC"/>
    <w:rsid w:val="0038195D"/>
    <w:rsid w:val="00382D7C"/>
    <w:rsid w:val="003A2A01"/>
    <w:rsid w:val="003B0243"/>
    <w:rsid w:val="003B53B0"/>
    <w:rsid w:val="0040643B"/>
    <w:rsid w:val="00413596"/>
    <w:rsid w:val="00443C7B"/>
    <w:rsid w:val="00453D77"/>
    <w:rsid w:val="004557EC"/>
    <w:rsid w:val="00465ADD"/>
    <w:rsid w:val="00476C3A"/>
    <w:rsid w:val="0048322B"/>
    <w:rsid w:val="004870E1"/>
    <w:rsid w:val="004900FF"/>
    <w:rsid w:val="00490D62"/>
    <w:rsid w:val="004A0A7D"/>
    <w:rsid w:val="004B6552"/>
    <w:rsid w:val="004C3ABE"/>
    <w:rsid w:val="004C5F33"/>
    <w:rsid w:val="004C70EA"/>
    <w:rsid w:val="004C758D"/>
    <w:rsid w:val="004D39AC"/>
    <w:rsid w:val="004E7928"/>
    <w:rsid w:val="00503217"/>
    <w:rsid w:val="0054605F"/>
    <w:rsid w:val="0055190D"/>
    <w:rsid w:val="0056517C"/>
    <w:rsid w:val="005674FD"/>
    <w:rsid w:val="005676AB"/>
    <w:rsid w:val="00575564"/>
    <w:rsid w:val="005821D9"/>
    <w:rsid w:val="00583942"/>
    <w:rsid w:val="005928EC"/>
    <w:rsid w:val="00596B20"/>
    <w:rsid w:val="00597AE1"/>
    <w:rsid w:val="005A589B"/>
    <w:rsid w:val="005B43F8"/>
    <w:rsid w:val="005D08D3"/>
    <w:rsid w:val="005E25C5"/>
    <w:rsid w:val="005F7D93"/>
    <w:rsid w:val="00614AFC"/>
    <w:rsid w:val="006244F2"/>
    <w:rsid w:val="006326F0"/>
    <w:rsid w:val="0064374B"/>
    <w:rsid w:val="0065345B"/>
    <w:rsid w:val="0068430D"/>
    <w:rsid w:val="006A20FE"/>
    <w:rsid w:val="006C05D0"/>
    <w:rsid w:val="006D3E39"/>
    <w:rsid w:val="00713006"/>
    <w:rsid w:val="00714A41"/>
    <w:rsid w:val="007328D6"/>
    <w:rsid w:val="00741013"/>
    <w:rsid w:val="007417A4"/>
    <w:rsid w:val="00743336"/>
    <w:rsid w:val="007502FD"/>
    <w:rsid w:val="00751362"/>
    <w:rsid w:val="00753AFF"/>
    <w:rsid w:val="00753B85"/>
    <w:rsid w:val="00761557"/>
    <w:rsid w:val="007648B9"/>
    <w:rsid w:val="007704B6"/>
    <w:rsid w:val="00784083"/>
    <w:rsid w:val="00793421"/>
    <w:rsid w:val="00793AC1"/>
    <w:rsid w:val="007B7A98"/>
    <w:rsid w:val="007C22B9"/>
    <w:rsid w:val="007D79A6"/>
    <w:rsid w:val="007E5313"/>
    <w:rsid w:val="007E6FF0"/>
    <w:rsid w:val="00800885"/>
    <w:rsid w:val="00800BA9"/>
    <w:rsid w:val="00815C60"/>
    <w:rsid w:val="0081621D"/>
    <w:rsid w:val="008256C8"/>
    <w:rsid w:val="00826063"/>
    <w:rsid w:val="00826F90"/>
    <w:rsid w:val="00834DE8"/>
    <w:rsid w:val="00883934"/>
    <w:rsid w:val="00884818"/>
    <w:rsid w:val="008946C5"/>
    <w:rsid w:val="0089583C"/>
    <w:rsid w:val="008B07A3"/>
    <w:rsid w:val="008B08DC"/>
    <w:rsid w:val="008B20F5"/>
    <w:rsid w:val="008B246C"/>
    <w:rsid w:val="008C0122"/>
    <w:rsid w:val="008D1976"/>
    <w:rsid w:val="008E1912"/>
    <w:rsid w:val="008E3DA5"/>
    <w:rsid w:val="008E7E25"/>
    <w:rsid w:val="008F08A9"/>
    <w:rsid w:val="009010C8"/>
    <w:rsid w:val="00903BDC"/>
    <w:rsid w:val="0091046B"/>
    <w:rsid w:val="009135E2"/>
    <w:rsid w:val="00952592"/>
    <w:rsid w:val="00956E5C"/>
    <w:rsid w:val="00957DDA"/>
    <w:rsid w:val="00973BC2"/>
    <w:rsid w:val="00983BA2"/>
    <w:rsid w:val="00994CB9"/>
    <w:rsid w:val="009C114A"/>
    <w:rsid w:val="009D057B"/>
    <w:rsid w:val="009D23BB"/>
    <w:rsid w:val="009F1E55"/>
    <w:rsid w:val="009F2C72"/>
    <w:rsid w:val="009F4813"/>
    <w:rsid w:val="00A14438"/>
    <w:rsid w:val="00A165AE"/>
    <w:rsid w:val="00A25D97"/>
    <w:rsid w:val="00A26F03"/>
    <w:rsid w:val="00A52456"/>
    <w:rsid w:val="00A56091"/>
    <w:rsid w:val="00A61CA5"/>
    <w:rsid w:val="00A65D02"/>
    <w:rsid w:val="00A67E01"/>
    <w:rsid w:val="00A76313"/>
    <w:rsid w:val="00A83A0E"/>
    <w:rsid w:val="00A86EC9"/>
    <w:rsid w:val="00A95126"/>
    <w:rsid w:val="00AA3BEC"/>
    <w:rsid w:val="00AB67A1"/>
    <w:rsid w:val="00AC0359"/>
    <w:rsid w:val="00AC1970"/>
    <w:rsid w:val="00AD1DB0"/>
    <w:rsid w:val="00AF1CF2"/>
    <w:rsid w:val="00AF698E"/>
    <w:rsid w:val="00B2038C"/>
    <w:rsid w:val="00B25149"/>
    <w:rsid w:val="00B260E6"/>
    <w:rsid w:val="00B31D53"/>
    <w:rsid w:val="00B37B75"/>
    <w:rsid w:val="00B73BBD"/>
    <w:rsid w:val="00B8027B"/>
    <w:rsid w:val="00B80A25"/>
    <w:rsid w:val="00B84A59"/>
    <w:rsid w:val="00B91055"/>
    <w:rsid w:val="00B9273D"/>
    <w:rsid w:val="00BA64C1"/>
    <w:rsid w:val="00BD25F4"/>
    <w:rsid w:val="00BD65EF"/>
    <w:rsid w:val="00BF572F"/>
    <w:rsid w:val="00BF67B5"/>
    <w:rsid w:val="00C0705F"/>
    <w:rsid w:val="00C078B6"/>
    <w:rsid w:val="00C12F3B"/>
    <w:rsid w:val="00C15DD1"/>
    <w:rsid w:val="00C16E6A"/>
    <w:rsid w:val="00C26234"/>
    <w:rsid w:val="00C30BF4"/>
    <w:rsid w:val="00CA2B8D"/>
    <w:rsid w:val="00CB50AF"/>
    <w:rsid w:val="00CC5208"/>
    <w:rsid w:val="00CF1A2C"/>
    <w:rsid w:val="00CF2A09"/>
    <w:rsid w:val="00CF3657"/>
    <w:rsid w:val="00CF37F2"/>
    <w:rsid w:val="00D117B0"/>
    <w:rsid w:val="00D11E1D"/>
    <w:rsid w:val="00D1722F"/>
    <w:rsid w:val="00D20882"/>
    <w:rsid w:val="00D23392"/>
    <w:rsid w:val="00D26571"/>
    <w:rsid w:val="00D27D08"/>
    <w:rsid w:val="00D50B36"/>
    <w:rsid w:val="00D5107D"/>
    <w:rsid w:val="00D77039"/>
    <w:rsid w:val="00D81C8F"/>
    <w:rsid w:val="00DD3968"/>
    <w:rsid w:val="00DE4049"/>
    <w:rsid w:val="00DF51DB"/>
    <w:rsid w:val="00E07750"/>
    <w:rsid w:val="00E13B87"/>
    <w:rsid w:val="00E16B03"/>
    <w:rsid w:val="00E23C29"/>
    <w:rsid w:val="00E2745D"/>
    <w:rsid w:val="00E310E8"/>
    <w:rsid w:val="00E46E0A"/>
    <w:rsid w:val="00E50002"/>
    <w:rsid w:val="00E66B62"/>
    <w:rsid w:val="00E67C40"/>
    <w:rsid w:val="00E67C92"/>
    <w:rsid w:val="00E72CF9"/>
    <w:rsid w:val="00E75E1A"/>
    <w:rsid w:val="00E903CA"/>
    <w:rsid w:val="00EA0952"/>
    <w:rsid w:val="00EA217B"/>
    <w:rsid w:val="00EC0676"/>
    <w:rsid w:val="00ED5CC1"/>
    <w:rsid w:val="00EF428B"/>
    <w:rsid w:val="00F1275F"/>
    <w:rsid w:val="00F61921"/>
    <w:rsid w:val="00F66939"/>
    <w:rsid w:val="00F673EC"/>
    <w:rsid w:val="00F751AE"/>
    <w:rsid w:val="00F7536A"/>
    <w:rsid w:val="00F7543B"/>
    <w:rsid w:val="00F91A87"/>
    <w:rsid w:val="00FA10F1"/>
    <w:rsid w:val="00FE1A0C"/>
    <w:rsid w:val="00FE4FF8"/>
    <w:rsid w:val="00FE638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35C2"/>
  <w15:docId w15:val="{9F2FAB4B-CDD7-4D34-834E-DC028F0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6063"/>
    <w:pPr>
      <w:overflowPunct w:val="0"/>
      <w:spacing w:after="200" w:line="276" w:lineRule="auto"/>
      <w:jc w:val="left"/>
    </w:pPr>
    <w:rPr>
      <w:color w:val="00000A"/>
      <w:sz w:val="22"/>
    </w:rPr>
  </w:style>
  <w:style w:type="paragraph" w:styleId="Nagwek1">
    <w:name w:val="heading 1"/>
    <w:basedOn w:val="Heading"/>
    <w:qFormat/>
    <w:pPr>
      <w:outlineLvl w:val="0"/>
    </w:p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customStyle="1" w:styleId="Hyperlink0">
    <w:name w:val="Hyperlink.0"/>
    <w:basedOn w:val="InternetLink"/>
    <w:qFormat/>
    <w:rPr>
      <w:color w:val="0563C1"/>
      <w:u w:val="single" w:color="0563C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Normalny"/>
  </w:style>
  <w:style w:type="paragraph" w:customStyle="1" w:styleId="Quotations">
    <w:name w:val="Quotations"/>
    <w:basedOn w:val="Normalny"/>
    <w:qFormat/>
  </w:style>
  <w:style w:type="paragraph" w:styleId="Tytu">
    <w:name w:val="Title"/>
    <w:basedOn w:val="Heading"/>
    <w:qFormat/>
  </w:style>
  <w:style w:type="paragraph" w:styleId="Podtytu">
    <w:name w:val="Subtitle"/>
    <w:basedOn w:val="Heading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rsid w:val="00220C65"/>
    <w:pPr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table" w:customStyle="1" w:styleId="TableNormal">
    <w:name w:val="Table Normal"/>
    <w:rsid w:val="00220C65"/>
    <w:pPr>
      <w:jc w:val="left"/>
    </w:pPr>
    <w:rPr>
      <w:rFonts w:ascii="Times New Roman" w:eastAsia="Arial Unicode MS" w:hAnsi="Times New Roman" w:cs="Times New Roman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1C4D6A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AA3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56C8"/>
    <w:rPr>
      <w:b/>
      <w:bCs/>
    </w:rPr>
  </w:style>
  <w:style w:type="paragraph" w:customStyle="1" w:styleId="BodyA">
    <w:name w:val="Body A"/>
    <w:qFormat/>
    <w:rsid w:val="004A0A7D"/>
    <w:pPr>
      <w:suppressAutoHyphens/>
      <w:jc w:val="left"/>
    </w:pPr>
    <w:rPr>
      <w:rFonts w:ascii="Helvetica;Arial" w:eastAsia="ヒラギノ角ゴ Pro W3" w:hAnsi="Helvetica;Arial" w:cs="Helvetica;Arial"/>
      <w:color w:val="000000"/>
      <w:sz w:val="24"/>
      <w:szCs w:val="20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4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B9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B9"/>
    <w:rPr>
      <w:color w:val="00000A"/>
      <w:sz w:val="22"/>
    </w:rPr>
  </w:style>
  <w:style w:type="paragraph" w:customStyle="1" w:styleId="StandardowyZadanie">
    <w:name w:val="Standardowy.Zadanie"/>
    <w:next w:val="Listapunktowana4"/>
    <w:qFormat/>
    <w:rsid w:val="00994CB9"/>
    <w:pPr>
      <w:widowControl w:val="0"/>
      <w:suppressAutoHyphens/>
      <w:spacing w:line="36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994CB9"/>
    <w:pPr>
      <w:numPr>
        <w:numId w:val="1"/>
      </w:numPr>
      <w:tabs>
        <w:tab w:val="num" w:pos="1209"/>
      </w:tabs>
      <w:ind w:left="1209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888">
          <w:marLeft w:val="2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4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C905-8EA0-4171-8E8C-7E844140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USER</cp:lastModifiedBy>
  <cp:revision>4</cp:revision>
  <cp:lastPrinted>2023-02-28T14:01:00Z</cp:lastPrinted>
  <dcterms:created xsi:type="dcterms:W3CDTF">2023-03-15T14:29:00Z</dcterms:created>
  <dcterms:modified xsi:type="dcterms:W3CDTF">2023-03-24T10:50:00Z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