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44F2B49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997CC3">
        <w:rPr>
          <w:rFonts w:asciiTheme="minorHAnsi" w:hAnsiTheme="minorHAnsi" w:cstheme="minorHAnsi"/>
          <w:lang w:eastAsia="ar-SA"/>
        </w:rPr>
        <w:t>,</w:t>
      </w:r>
      <w:r w:rsidR="00000377" w:rsidRPr="00997CC3">
        <w:rPr>
          <w:rFonts w:asciiTheme="minorHAnsi" w:hAnsiTheme="minorHAnsi" w:cstheme="minorHAnsi"/>
          <w:lang w:eastAsia="ar-SA"/>
        </w:rPr>
        <w:t xml:space="preserve"> </w:t>
      </w:r>
      <w:r w:rsidR="003C1078" w:rsidRPr="00997CC3">
        <w:rPr>
          <w:rFonts w:asciiTheme="minorHAnsi" w:hAnsiTheme="minorHAnsi" w:cstheme="minorHAnsi"/>
          <w:lang w:eastAsia="ar-SA"/>
        </w:rPr>
        <w:t>03.06</w:t>
      </w:r>
      <w:r w:rsidR="00997CC3">
        <w:rPr>
          <w:rFonts w:asciiTheme="minorHAnsi" w:hAnsiTheme="minorHAnsi" w:cstheme="minorHAnsi"/>
          <w:lang w:eastAsia="ar-SA"/>
        </w:rPr>
        <w:t>.</w:t>
      </w:r>
      <w:r w:rsidR="00BE6A8F" w:rsidRPr="00997CC3">
        <w:rPr>
          <w:rFonts w:asciiTheme="minorHAnsi" w:hAnsiTheme="minorHAnsi" w:cstheme="minorHAnsi"/>
          <w:lang w:eastAsia="ar-SA"/>
        </w:rPr>
        <w:t>202</w:t>
      </w:r>
      <w:r w:rsidR="00AB23D9" w:rsidRPr="00997CC3">
        <w:rPr>
          <w:rFonts w:asciiTheme="minorHAnsi" w:hAnsiTheme="minorHAnsi" w:cstheme="minorHAnsi"/>
          <w:lang w:eastAsia="ar-SA"/>
        </w:rPr>
        <w:t>4</w:t>
      </w:r>
      <w:r w:rsidR="00BE6A8F" w:rsidRPr="00997CC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997CC3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997CC3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42445E25" w14:textId="3C3C50C8" w:rsidR="00AD4036" w:rsidRPr="00AD4036" w:rsidRDefault="008D2B4E" w:rsidP="00997CC3">
      <w:pPr>
        <w:spacing w:after="160" w:line="259" w:lineRule="auto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 w:type="page"/>
      </w:r>
      <w:r w:rsidR="00AD4036"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I. Proszę o udzielenie odpowiedzi dotyczących Specyfikacji Akwarium Morskiego:</w:t>
      </w:r>
    </w:p>
    <w:p w14:paraId="53DC9C4A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Numer punktu odnosi się do numeru z opisu technicznego akwarium morskiego.</w:t>
      </w:r>
    </w:p>
    <w:p w14:paraId="2D8B0A84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1649D78" w14:textId="4A1F29CB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1BF9F597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Punkt 6 - prosimy o uszczegółowienie, opis nie zrozumiały</w:t>
      </w:r>
    </w:p>
    <w:p w14:paraId="4518C2C4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04D1412" w14:textId="5807FA43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1A07035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B547A97" w14:textId="77777777" w:rsidR="008D2B4E" w:rsidRDefault="008D2B4E" w:rsidP="008D2B4E">
      <w:pPr>
        <w:jc w:val="center"/>
      </w:pPr>
      <w:r>
        <w:rPr>
          <w:noProof/>
        </w:rPr>
        <w:lastRenderedPageBreak/>
        <w:drawing>
          <wp:inline distT="0" distB="0" distL="0" distR="0" wp14:anchorId="62F60984" wp14:editId="13D8055E">
            <wp:extent cx="3076575" cy="3718546"/>
            <wp:effectExtent l="0" t="0" r="0" b="0"/>
            <wp:docPr id="1618569263" name="Obraz 161856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0690" cy="373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A715" w14:textId="77777777" w:rsidR="008D2B4E" w:rsidRDefault="008D2B4E" w:rsidP="008D2B4E">
      <w:pPr>
        <w:jc w:val="both"/>
      </w:pPr>
    </w:p>
    <w:p w14:paraId="7EE99B41" w14:textId="77777777" w:rsidR="008D2B4E" w:rsidRDefault="008D2B4E" w:rsidP="008D2B4E">
      <w:pPr>
        <w:jc w:val="both"/>
      </w:pPr>
      <w:r>
        <w:t>Schemat przedstawiony na rysunku. Akwarium ma być wbudowane w ścianę dzielącą hol od sali seminaryjnej. W związku z powyższym górne wzmocnienie przedniej szyby ma mieć szerokość wynoszącą tyle samo lub więcej niż grubość ściany w jaką wbudowane jest akwarium</w:t>
      </w:r>
    </w:p>
    <w:p w14:paraId="10CFCEE8" w14:textId="77777777" w:rsidR="008D2B4E" w:rsidRDefault="008D2B4E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7AFB8E1" w14:textId="77777777" w:rsidR="008D2B4E" w:rsidRDefault="008D2B4E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F4F5208" w14:textId="774C2178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010AF53F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Punkt 13 -obecnie stosuje się rozwiązanie które spełniają te same funkcję ale jest kilkukrotnie efektywniejsze niż klasyczne refugium, mianowicie reaktor glonowy. Dzięki niemu zyskujemy również ogromną ilość miejsca. Proszę o potwierdzenie konieczności zastosowania opisanego w specyfikacji rozwiązania.</w:t>
      </w:r>
    </w:p>
    <w:p w14:paraId="011AE23F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1F4BEA7" w14:textId="12C92C90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664F2934" w14:textId="7C5B851D" w:rsidR="008D2B4E" w:rsidRPr="008D2B4E" w:rsidRDefault="008D2B4E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Akwarium wystawowe ma pełnić funkcję edukacyjną dla dzieci w wieku przedszkolnym oraz szkolnym. W związku z powyższym refugium dostosowane dla glonów z rodziny </w:t>
      </w:r>
      <w:proofErr w:type="spellStart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Caulerpa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oraz </w:t>
      </w:r>
      <w:proofErr w:type="spellStart"/>
      <w:r w:rsidRPr="003E24DC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Ulva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jest obligatoryjne. Jednak ustosunkowując się do pytania, pragnę nadmienić, że reaktor glonowy pomimo iż zajmuje mniejszą powierzchnię, wbrew pozorom nie jest urządzeniem efektywniejszym niż klasyczne refugium. Najwydajniejszym urządzeniem usuwającym z wody fosforany, a bazującym na glonach, jest tzw.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Algae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scrubber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Ponadto, do reaktora glonowego nadają się jedynie glony z rodziny </w:t>
      </w:r>
      <w:proofErr w:type="spellStart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Cladophoraceae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W punkcie numer 13 zaznaczono, że refugium ma być dostosowane do glonów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C</w:t>
      </w:r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aulerpa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oraz </w:t>
      </w:r>
      <w:proofErr w:type="spellStart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Ulva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Glony z rodziny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C</w:t>
      </w:r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aulerpaceae</w:t>
      </w:r>
      <w:proofErr w:type="spellEnd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 xml:space="preserve"> </w:t>
      </w:r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są wodorostami posiadającymi tzw. pełzającą łodygę. Wodorosty </w:t>
      </w:r>
      <w:proofErr w:type="spellStart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Caulerpa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oraz </w:t>
      </w:r>
      <w:proofErr w:type="spellStart"/>
      <w:r w:rsidRPr="008D2B4E">
        <w:rPr>
          <w:rFonts w:asciiTheme="minorHAnsi" w:eastAsia="Calibri" w:hAnsiTheme="minorHAnsi" w:cstheme="minorHAnsi"/>
          <w:bCs/>
          <w:i/>
          <w:iCs/>
          <w:color w:val="0D0D0D" w:themeColor="text1" w:themeTint="F2"/>
          <w:lang w:eastAsia="en-US"/>
        </w:rPr>
        <w:t>Ulva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zostały wybrane celowo dla pokazania dzieciom wzrostu i znaczenia glonów. Glony z tych rodzin nie przyrastają prawidłowo w reaktorach glonowych i dodatkowo mogą w nich rozrywać się i blokować przepływ.</w:t>
      </w:r>
    </w:p>
    <w:p w14:paraId="74DD1A9B" w14:textId="77777777" w:rsidR="008D2B4E" w:rsidRDefault="008D2B4E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BAE0F8B" w14:textId="77777777" w:rsidR="008D2B4E" w:rsidRDefault="008D2B4E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C6F1A6D" w14:textId="12A6B6E0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14:paraId="6D558556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Punkt 14 -Realnie -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szczepkarium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 tak małym zbiorniku/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sumpie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jest absurdalne, albo będziemy mieli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ala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szczepkarium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 nieprawidłowo działający system z powodu braku miejsca na złoża biologiczne, właściwą filtrację itd. albo brak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szczepkarium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 poprawnie działające akwarium główne. Proszę o potwierdzenie konieczności zastosowania opisanego w specyfikacji rozwiązania.</w:t>
      </w:r>
    </w:p>
    <w:p w14:paraId="310F538A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ABF41B1" w14:textId="2F695E48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941C2A6" w14:textId="225C50DD" w:rsidR="00AD4036" w:rsidRPr="008D2B4E" w:rsidRDefault="008D2B4E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Podobnie jak w przypadku odpowiedzi na pytanie dotyczące punktu numer 1</w:t>
      </w:r>
      <w:r w:rsidR="00F21BFF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3</w:t>
      </w:r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pragnę nadmienić iż akwarium wystawowe ma pełnić funkcję edukacyjną dla dzieci w wieku przedszkolnym oraz szkolnym. Ustosunkowując się do pytania pragnę wskazać, że nawet w małym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sumpie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np. o wymiarach 60 x 50 x 40, może się znaleźć miejsce na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szczepkarium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Miejsce to nie musi być duże. Dodatkowo, komora dla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szczepkarium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może stanowić jednocześnie komorę dla filtracji biologicznej oraz dla szczepek korali. Tego typu rozwiązania bardzo często stosowane są w wielu firmach oraz farmach koralowców. Również w Instytucie Zootechniki projektowaliśmy i sprawdzaliśmy działanie tego typu rozwiązań. Kolejną sprawą jest zarzut: „albo będziemy mieli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ala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zczepkarium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i nieprawidłowo działający system z powodu braku miejsca na złoża biologiczne, właściwą filtrację itd. albo brak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szczepkarium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i poprawnie działające akwarium główne. Jest to zdanie mijające się z prawdą. Każdy element skał, żwiru znajdujący się w akwarium głównym, jak również skały, złoża biologiczne a nawet włóknina w filtrze mechanicznym, stanowi miejsce dla rozwoju bakterii tlenowych. Można bez problemu prowadzić akwarium morskie z bardzo małą liczbą złoży biologicznych w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sumpie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jak również bez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odpieniacza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Tego typu rozwiązania były u nas sprawdzane i porównywane ze sobą. Jednakże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szczepkarium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w </w:t>
      </w:r>
      <w:proofErr w:type="spellStart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sumpie</w:t>
      </w:r>
      <w:proofErr w:type="spellEnd"/>
      <w:r w:rsidRPr="008D2B4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do akwarium wystawowego, przewidziane przez nas, ma łączyć filtrację biologiczną z miejscem na szczepki koralowców.</w:t>
      </w:r>
    </w:p>
    <w:p w14:paraId="7213A3AE" w14:textId="77777777" w:rsidR="008D2B4E" w:rsidRDefault="008D2B4E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DF1A96C" w14:textId="77777777" w:rsidR="00EF3B92" w:rsidRDefault="00EF3B92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4E9335D" w14:textId="7852BDA1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14:paraId="01641D14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Punkt 16 -poprawny układ 1 rura spustowa, 1 rewizja i 2 powroty. Proszę o potwierdzenie konieczności zastosowania opisanego w specyfikacji rozwiązania.</w:t>
      </w:r>
    </w:p>
    <w:p w14:paraId="31519CF7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AD52935" w14:textId="7B2C6AE2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4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6F9CAA70" w14:textId="616D3F0C" w:rsidR="003E24DC" w:rsidRDefault="003E24DC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3E24D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Przewidziany układ to 1 rura spustowa, 1 rewizja i 2 powroty. Może jednak być zastosowany inny układ, np. dwóch rur spustowych, jednej rewizji, jednego lub dwóch powrotów, pod warunkiem zastosowania dwóch pomp obiegowych tłoczących wodę z </w:t>
      </w:r>
      <w:proofErr w:type="spellStart"/>
      <w:r w:rsidRPr="003E24D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sumpa</w:t>
      </w:r>
      <w:proofErr w:type="spellEnd"/>
      <w:r w:rsidRPr="003E24D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do akwarium.</w:t>
      </w:r>
    </w:p>
    <w:p w14:paraId="478D0A93" w14:textId="77777777" w:rsidR="003E24DC" w:rsidRDefault="003E24DC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</w:p>
    <w:p w14:paraId="6C964241" w14:textId="77777777" w:rsidR="002255AD" w:rsidRDefault="002255AD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CB2D267" w14:textId="77777777" w:rsidR="002255AD" w:rsidRDefault="002255AD">
      <w:pPr>
        <w:spacing w:after="160"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br w:type="page"/>
      </w:r>
    </w:p>
    <w:p w14:paraId="78BC34C5" w14:textId="5B7899D8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5</w:t>
      </w:r>
    </w:p>
    <w:p w14:paraId="674165B9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Punkt 19 - kulowe zawory zwrotne - niepotrzebne udziwnienie, raz, że mocno dławią przepływ wody przez co pompa ma dużo ciężej i wpływa to na jej efektywność i zużycie, dwa, że zawory te jeżeli złapią małe zabrudzenie nie domykają się co powoduje wiele następujących po sobie komplikacji a czasem nawet zalanie pomieszczenia. Wylot typu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Loc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-Line, to również niepotrzebny elementy systemu który dławi pompę, a przy braku ostrożności ze strony obsługi również może przyczynić się do zalania pomieszczenia w którym stoi zbiornik. Proszę o potwierdzenie konieczności zastosowania opisanego w specyfikacji rozwiązania.</w:t>
      </w:r>
    </w:p>
    <w:p w14:paraId="2DF34AF8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2E1FEBD" w14:textId="4D0AFAD0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5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3059CCC5" w14:textId="52F840E5" w:rsidR="00EA44E6" w:rsidRPr="00EA44E6" w:rsidRDefault="00EF3B92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Zawory zwrotne kulowe nie stanowią „niepotrzebnego udziwnienia”. Zawory te zabezpieczają właśnie przed przelaniem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sumpa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i zalaniem pomieszczenia w przypadku awarii zasilania czy też pompy, gdyż kula znajdująca się w zaworze blokuje spływ wody z akwarium do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sumpa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Od 2011 roku gdy pierwszy raz mieliśmy okazję korzystać z kulowych zaworów zwrotnych, nigdy nie spotkaliśmy się z sytuacją, w której małe zabrudzenie powoduje brak domykania się zaworu. Pragnę nadmienić, że elementy hydrauliki takie jak zawory zwrotne kulowe, sprawdzamy i czyścimy co 3 miesiące, tak, aby mieć pewność, że są w idealnym stanie. Zawory te zostały wybrane ze względu na przewidzianą hydraulikę w układzie dwóch powrotów z dwiema pompami obiegowymi. W przypadku awarii jednej z pomp, zawór kulowy zablokuje spływ wody z akwarium do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sumpa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dzięki czemu poziom wody w otwartym filtrze nie podniesie się i praca innych urządzeń, takich jak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odpieniacz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białek, nie zostanie zaburzona. Co do stwierdzenia, iż zawory te „mocno dławią przepływ wody przez co pompa ma dużo ciężej i wpływa to na jej efektywność i zużycie” jest prawdziwe ale tylko w pewnym stopniu. Każdy zawór, kolanko, trójnik, mufa, średnica rur oraz inne elementy hydrauliki, jak również samo miejsce łączenia w/w elementów i powstające opory interferencyjne (miejscowe) negatywnie wpływają na prędkość tłoczenia wody. W naszych doświadczeniach, w przypadku zastosowania pompy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Jecod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EP-10000 ustawioną na moc 75 % przy podnoszeniu wody na wysokość 1,5 m przy zastosowaniu jednego przyłącza węża, pięciu kolanek 90 stopni oraz podwójnego złącza </w:t>
      </w:r>
      <w:proofErr w:type="spellStart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Pr="00EF3B92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-Line (trójkątnego) uzyskano zmniejszenie przepływu wody z 4390,2 l/h do 4278,1 l/h co stanowi „zdławienie” przepływu o 2,62 %. Jest to strata przepływu wody z jaką możemy się pogodzić.</w:t>
      </w:r>
      <w:r w:rsid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Co do zarzutu: Wylot typu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-Line, to również niepotrzebny elementy systemu który dławi pompę, a przy braku ostrożności ze strony obsługi również może przyczynić się do zalania pomieszczenia w którym stoi zbiornik. Pragnę nadmienić, że zbiornikiem będą opiekować się osoby z wykształceniem rybackim, tytułem ichtiologa oraz pasjonaci akwarystyki, więc w tym przypadku nie dojdzie do zalania pomieszczenia na skutek nieostrożności obsługi. Również nie mogę zgodzić się z tezą, że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stanowi niepotrzebny element systemu. Tego typu złączki stosowane są w określonych celach. Na rynku polskim powszechnie dostępne są złączki o trójkątnym kształcie oraz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Blau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Vortex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a także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Rotative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Eductor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W/w złączki mają stały przepływ z wyjątkiem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Rotative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który dodatkowo zapewnia efekt „zmiennej cyrkulacji”. Jednak tego typu złączy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nie chcemy w akwarium wystawowym. W punkcie numer 21 zaznaczono iż końcówki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mają posiadać dyszę wytwarzającą wirowy turbulentny przepływ. Jest to bardzo ważne. Są to końcówki wykonywane na specjalne zamówienia. Końcówki </w:t>
      </w:r>
      <w:proofErr w:type="spellStart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="00EA44E6" w:rsidRPr="00EA44E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-Line tego typu umożliwiają zwiększenie przepływ wody dzięki połącznie przepływu wody z pompy wraz z zasysaniem wody z akwarium przy jednoczesnym nadaniu strumieniowi ruchu wirowego. Zastosowanie tych złączy jest obligatoryjne.</w:t>
      </w:r>
    </w:p>
    <w:p w14:paraId="03703378" w14:textId="77777777" w:rsidR="002255AD" w:rsidRDefault="002255AD">
      <w:pPr>
        <w:spacing w:after="160"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br w:type="page"/>
      </w:r>
    </w:p>
    <w:p w14:paraId="52E84ED6" w14:textId="333E9894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6</w:t>
      </w:r>
    </w:p>
    <w:p w14:paraId="35253F69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Punkt 20 -Wszystko się zgadza z tymi trzema zaworami do zasilania innych urządzeń, nie zgadza się to, że mają być umieszczone na powrocie wody do akwarium - w skrócie wieczne problemy z chlupaniem wody,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chałasem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 kominie i niemożność stabilnego ustawienia poziomu wody w kominie. Rozwiązaniem jest dodanie trzeciej pompy która będzie zasilała tylko urządzenia peryferyjne - co nie będzie miało wpływu na pracę systemu, przepływy akwarium-SUMP oraz poziom wody w kominie przelewowym.</w:t>
      </w:r>
    </w:p>
    <w:p w14:paraId="70FE668C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potwierdzenie konieczności zastosowania opisanego w specyfikacji rozwiązania.</w:t>
      </w:r>
    </w:p>
    <w:p w14:paraId="26397DC8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2B26FA4" w14:textId="0ADEF8FA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6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D2C7E6F" w14:textId="7E87294A" w:rsidR="002255AD" w:rsidRPr="002255AD" w:rsidRDefault="002255AD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W przypadku zastosowania dodatkowych zaworów zasilających inne urządzenia na powrocie wody do akwarium nie ma problemów z chlupaniem wody, hałasem w kominie oraz niemożliwością stabilnego ustawienia poziomu wody w kominie. Po uruchomieniu obiegu, wystarczy tylko raz ustawić wychylenie zaworu przy odprowadzaniu wody z komina oraz zaworów zasilających pozostałe urządzenia aby uniknąć problemu ustawienia stabilnego poziomu wody w kominie. W przypadku nagłego obniżenia lub podwyższenia się poziomu wody w kominie, wystarczy zwiększyć lub zmniejszyć o 1 % wydajność pompy obiegowej i problem znika. Zastosowanie oddzielnej pompy jest bardzo często praktykowane, jednakże jak sam autor pytań zaznaczył, w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sumpie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brak jest miejsca, więc zastosowanie dodatkowej pompy tłoczącej wodę do dodatkowych filtrów w dużym stopniu dodatkowo zmniejszy liczbę dostępnego miejsca.</w:t>
      </w:r>
    </w:p>
    <w:p w14:paraId="12499A71" w14:textId="77777777" w:rsidR="002255AD" w:rsidRDefault="002255AD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B996C9A" w14:textId="77777777" w:rsidR="002255AD" w:rsidRDefault="002255AD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AB10D08" w14:textId="1F1A73BD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7</w:t>
      </w:r>
    </w:p>
    <w:p w14:paraId="254DD5A2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Punkt 21 -Totalnie niepotrzebny "gadżet" Proszę o potwierdzenie konieczności zastosowania opisanego w specyfikacji rozwiązania.</w:t>
      </w:r>
    </w:p>
    <w:p w14:paraId="752C3456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4D6D142" w14:textId="3AA922A4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7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40DC48CE" w14:textId="1772B12B" w:rsidR="002255AD" w:rsidRPr="002255AD" w:rsidRDefault="002255AD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Złącza typu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stanową potrzebny element systemu. Tego typu złączki stosowane są w określonych celach. Na rynku Polskim powszechnie dostępne są złączki o trójkątnym kształcie oraz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Blau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Vortex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a także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Rotative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Eductor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W/w złączki mają stały przepływ z wyjątkiem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Rotative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, który dodatkowo zapewnia efekt „zmiennej cyrkulacji”. Jednak tego typu złączy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nie chcemy w akwarium wystawowym. W akwarium wystawowym mają być zastosowane końcówki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-Line posiadające dyszę wytwarzającą wirowy turbulentny przepływ. Są to końcówki wykonywane na specjalne zamówienia. Końcówki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Loc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-Line tego typu umożliwiają zwiększenie przepływ wody dzięki połącznie przepływu wody z pompy wraz z zasysaniem wody z akwarium przy jednoczesnym nadaniu strumieniowi ruchu wirowego. Zastosowanie tych złączy jest obligatoryjne.</w:t>
      </w:r>
    </w:p>
    <w:p w14:paraId="3D1922A9" w14:textId="77777777" w:rsidR="002255AD" w:rsidRDefault="002255AD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60966A4" w14:textId="5264330C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8</w:t>
      </w:r>
    </w:p>
    <w:p w14:paraId="21B383A9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Punkt 22 -Nie mam pojęcia dlaczego 2 urządzenia. Raz, że w budowanym systemie ekstremalnie ogranicza nas miejsce i każdy milimetr się liczy to 2 urządzenia zajmują po prostu 2x więcej miejsca bo są to nie tylko sprzęty ale i przyłącza itp. Zastosowanie 1 większego upraszcza system i ergonomie, do tego o jeden kabel i jeden kontroler mniej. Przypuszczam, że chodziło tylko i wyłącznie o zastosowanie rozwiązania producenta który nie ma </w:t>
      </w:r>
      <w:proofErr w:type="spellStart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rollera</w:t>
      </w:r>
      <w:proofErr w:type="spellEnd"/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większym przepływie ale przez to jest ogromny i toporny zarazem.</w:t>
      </w:r>
    </w:p>
    <w:p w14:paraId="7ECEBB50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Proszę o potwierdzenie konieczności zastosowania opisanego w specyfikacji rozwiązania.</w:t>
      </w:r>
    </w:p>
    <w:p w14:paraId="69074540" w14:textId="19EDC7C9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8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56A1321B" w14:textId="4BCD7194" w:rsidR="00AD4036" w:rsidRPr="002255AD" w:rsidRDefault="002255AD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Projektując akwarium od razu wiedzieliśmy, że będą zastosowane dwa filtry automatyczne typu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roller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Wybór dwóch urządzeń nie był spowodowany problemami z przepływem urządzeń różnych producentów. Jeden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roller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może być zamontowany do spływu a drugi do rewizji. W przypadku zmiany układu hydrauliki np. na dwa spływy, do obu powinny być podłączone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rollery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. Jeżeli chodzi o zarzut miejsca,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Rollery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różnych firm mają różną wielkość, z przyłączami może to być wymiar powierzchni wynoszący: 29 x 13 cm i w przypadku powieszenia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rollera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11 cm nad dnem </w:t>
      </w:r>
      <w:proofErr w:type="spellStart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sumpa</w:t>
      </w:r>
      <w:proofErr w:type="spellEnd"/>
      <w:r w:rsidRPr="002255AD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, miejsce pod filtrem może być przeznaczone na filtrację biologiczną.</w:t>
      </w:r>
    </w:p>
    <w:p w14:paraId="36C3D3CF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9E85E99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BF4F2DB" w14:textId="3326D8CD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9</w:t>
      </w:r>
    </w:p>
    <w:p w14:paraId="5F15B311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Punkt 30 -Cyrkulatory są mocno przewymiarowane do tego zbiornika i może być problem z ustawieniem minimalnej mocy na tyle aby w akwarium nie było efektu pralki. Według specyfikacji jest to model MP60 (mała pomyłka w specyfikacji nie max 35000 a 34000l/h) lepszym wyborem jeżeli już muszą być te cyrkulatory jest model MP40, tylko te modele nie mają możliwości regulacji kierunku przepływu wody a naszym zdaniem powinny go posiadać. Proszę o potwierdzenie konieczności zastosowania opisanego w specyfikacji rozwiązania.</w:t>
      </w:r>
    </w:p>
    <w:p w14:paraId="6661EA1F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4580B6F" w14:textId="4C10D24E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9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5E838883" w14:textId="37FC789F" w:rsidR="00AD4036" w:rsidRPr="00F21BFF" w:rsidRDefault="00F21BFF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21BF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 opisie pozycji dotyczącej maksymalnej wydajności pompy wdał się błąd, za co najmocniej przepraszam. Powinno być 34000 a nie 35000 l/h. Wyżej wymienione cyrkulatory, jak zaznaczono w pytaniu, nie posiadają możliwości regulacji kierunku przepływu. Jednakże cecha ta nie jest wymagana w przypadku wykonania akwarium wystawowo-szkoleniowego w Centrum Akwakultury. Jeżeli ustawione byłyby w/w 4 cyrkulatory po dwa na bocznych ścianach i włączone na pełną moc w przypadku pracy w trybie ciągłym, to faktycznie byłyby one przewymiarowane. Duże znaczenie ma ustawienie pomp cyrkulacyjnych w akwarium. W tym przypadku dwa będą umiejscowione bliżej powierzchni a dwa bliżej dna, tak aby nie dopuścić do powstania stref z niewystarczającą cyrkulacją lub jej brakiem. W projektowanym akwarium wszystkie pompy będą ustawione na tryb „</w:t>
      </w:r>
      <w:proofErr w:type="spellStart"/>
      <w:r w:rsidRPr="00F21BF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gyre</w:t>
      </w:r>
      <w:proofErr w:type="spellEnd"/>
      <w:r w:rsidRPr="00F21BF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” z maksymalną mocą wynoszącą (w zależności od wysokości umieszczenia lampy) 15 – 25 %. Dodatkowo pompy będą pracować z przesunięciem wobec siebie wynoszącym 0,5 sekundy, aby nie powstawały mocne wiry wody w bliskiej odległości od pomp. Przy mniejszej mocy, pompy nie wytworzą zbyt dużej cyrkulacji, nie będą głośne i nie wytworzą zbędnego ciepła (jednostka zewnętrzna). Z tego też względu pompy cyrkulacyjne nie są przewymiarowane. Zajmując się akwarystyką morską od 2001 roku, w tym uczestnicząc w badaniach naukowych na organizmach morskich od 2007 roku, pierwszy raz spotykam się z profesjonalnym określeniem „efektu pralki” w akwarium. Doprowadzenie do zbyt mocnej cyrkulacji wody w akwarium z powstaniem wirów uniemożliwiających życie bezkręgowcom morskim jest jak najbardziej możliwe. Dla przykładu, przy wymiarach akwarium o wymiarach 160 x 70 x 60 do tego celu potrzebne byłyby 4 cyrkulatory, o kącie wypływu wody wynoszącym od 13 do 20 stopni (w zależności od ustawionego trybu oraz mocy), po dwa umieszczone na każdym z boków akwarium, z czego jedna para przy powierzchni wody a druga przy dnie. Pompy typu MP40 i MP60 mają kąt wypływu wody wynoszący od 22 do 36 stopni (w zależności od ustawionego trybu oraz mocy). W związku z powyższym nie tłoczą wody tak liniowo aby wytworzyć idealny ruch wody typu wirowego.</w:t>
      </w:r>
    </w:p>
    <w:p w14:paraId="7A90DB1D" w14:textId="77777777" w:rsidR="00F21BFF" w:rsidRDefault="00F21BFF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4A6C0B7" w14:textId="77777777" w:rsidR="00F21BFF" w:rsidRDefault="00F21BFF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47EED989" w14:textId="77777777" w:rsidR="00F21BFF" w:rsidRDefault="00F21BFF">
      <w:pPr>
        <w:spacing w:after="160"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br w:type="page"/>
      </w:r>
    </w:p>
    <w:p w14:paraId="030B973F" w14:textId="6BAC315E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10</w:t>
      </w:r>
    </w:p>
    <w:p w14:paraId="7718F4A9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II. Proszę także określić i opisać zautomatyzowanie podmian i autouzupełniania wody.</w:t>
      </w:r>
    </w:p>
    <w:p w14:paraId="13BEA95B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8D93AD7" w14:textId="1473C72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lang w:eastAsia="en-US"/>
        </w:rPr>
        <w:t>0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48EA75C" w14:textId="2F700AE9" w:rsidR="00AD4036" w:rsidRPr="00BF2EEB" w:rsidRDefault="00BF2EEB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Jeżeli pytanie dotyczy systemu do podmian i uzupełniania wody, przewidziany w pomieszczeniu numer 15, to będzie on realizowany na etapie drugiego przetargu na wyposażenie.</w:t>
      </w:r>
    </w:p>
    <w:p w14:paraId="7F502103" w14:textId="77777777" w:rsidR="00BF2EEB" w:rsidRDefault="00BF2EEB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9FB9049" w14:textId="77777777" w:rsidR="00BF2EEB" w:rsidRDefault="00BF2EEB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36EE6E4" w14:textId="33000D7E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</w:t>
      </w:r>
    </w:p>
    <w:p w14:paraId="209C7719" w14:textId="77777777" w:rsid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III. Proszę wyspecyfikować i opisać systemy bezpieczeństwa.</w:t>
      </w:r>
    </w:p>
    <w:p w14:paraId="6041B155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4127CB5" w14:textId="533D00A4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lang w:eastAsia="en-US"/>
        </w:rPr>
        <w:t>1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8C0FCD9" w14:textId="6578BD30" w:rsidR="00AD4036" w:rsidRPr="00BF2EEB" w:rsidRDefault="00BF2EEB" w:rsidP="00AD403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Proszę doprecyzować o jakie systemy bezpieczeństwa i w którym pomieszczeniu chodzi. W opisie technicznym akwarium wystawowego brak jest punktu dotyczącego systemów bezpieczeństwa</w:t>
      </w:r>
      <w:r w:rsidR="00BE0CB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.</w:t>
      </w:r>
    </w:p>
    <w:p w14:paraId="14E74DC2" w14:textId="77777777" w:rsidR="00BF2EEB" w:rsidRDefault="00BF2EEB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6979E83" w14:textId="77777777" w:rsidR="00BF2EEB" w:rsidRDefault="00BF2EEB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D91AB63" w14:textId="6935DA23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12</w:t>
      </w:r>
    </w:p>
    <w:p w14:paraId="4868BC5F" w14:textId="77777777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IV. Proszę potwierdzić wymiary urządzenia bo przy wykorzystaniu opisanych w specyfikacji podzespół naszym zdaniem nie da się zachować takich wymiarów.</w:t>
      </w:r>
    </w:p>
    <w:p w14:paraId="504D98E1" w14:textId="750F6652" w:rsidR="00AD4036" w:rsidRPr="00AD4036" w:rsidRDefault="00AD4036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D403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Urządzenie będzie o wiele większe</w:t>
      </w:r>
    </w:p>
    <w:p w14:paraId="79D75FD0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</w:t>
      </w:r>
    </w:p>
    <w:p w14:paraId="4D36C83C" w14:textId="1661151B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257E047F" w14:textId="4BCDC110" w:rsidR="00AD4036" w:rsidRPr="00BF2EEB" w:rsidRDefault="00BF2EEB" w:rsidP="0031687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Proszę doprecyzować o jakie urządzenie chodzi. Jeżeli mówimy o akwarium, które nie jest urządzeniem, to zdaniem naszego zespołu da się zachować wymiary.</w:t>
      </w:r>
    </w:p>
    <w:p w14:paraId="22F02D94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6BAB0C7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322D4A93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C1D1871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3416A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51C4466" w14:textId="449598EA" w:rsidR="00000377" w:rsidRPr="0003576B" w:rsidRDefault="00AD4036" w:rsidP="00000377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3576B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10"/>
      <w:footerReference w:type="first" r:id="rId11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007B" w14:textId="77777777" w:rsidR="003E3717" w:rsidRDefault="003E3717" w:rsidP="00D64E9F">
      <w:r>
        <w:separator/>
      </w:r>
    </w:p>
  </w:endnote>
  <w:endnote w:type="continuationSeparator" w:id="0">
    <w:p w14:paraId="05FC3DF3" w14:textId="77777777" w:rsidR="003E3717" w:rsidRDefault="003E371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9FC3" w14:textId="77777777" w:rsidR="003E3717" w:rsidRDefault="003E3717" w:rsidP="00D64E9F">
      <w:r>
        <w:separator/>
      </w:r>
    </w:p>
  </w:footnote>
  <w:footnote w:type="continuationSeparator" w:id="0">
    <w:p w14:paraId="49F5D4E2" w14:textId="77777777" w:rsidR="003E3717" w:rsidRDefault="003E371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C1078"/>
    <w:rsid w:val="003D5736"/>
    <w:rsid w:val="003E24DC"/>
    <w:rsid w:val="003E3717"/>
    <w:rsid w:val="003E5E91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321E7"/>
    <w:rsid w:val="00566BDB"/>
    <w:rsid w:val="00577383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337EB"/>
    <w:rsid w:val="00843E05"/>
    <w:rsid w:val="008661BE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65EDB"/>
    <w:rsid w:val="00972BE8"/>
    <w:rsid w:val="00981E9A"/>
    <w:rsid w:val="00997CC3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52FDC"/>
    <w:rsid w:val="00BA44CB"/>
    <w:rsid w:val="00BC3AA4"/>
    <w:rsid w:val="00BD57F8"/>
    <w:rsid w:val="00BE0CB6"/>
    <w:rsid w:val="00BE6A8F"/>
    <w:rsid w:val="00BF2EEB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C283A"/>
    <w:rsid w:val="00CF50C3"/>
    <w:rsid w:val="00D1438F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A44E6"/>
    <w:rsid w:val="00EC7445"/>
    <w:rsid w:val="00EE7111"/>
    <w:rsid w:val="00EF3B92"/>
    <w:rsid w:val="00F21BFF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CB83-E3C7-4B90-974C-A4869DB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19</TotalTime>
  <Pages>7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</cp:revision>
  <cp:lastPrinted>2024-01-10T08:56:00Z</cp:lastPrinted>
  <dcterms:created xsi:type="dcterms:W3CDTF">2024-06-03T06:23:00Z</dcterms:created>
  <dcterms:modified xsi:type="dcterms:W3CDTF">2024-06-03T06:44:00Z</dcterms:modified>
</cp:coreProperties>
</file>