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5917" w14:textId="77777777" w:rsidR="00A075D3" w:rsidRPr="00A075D3" w:rsidRDefault="00A075D3" w:rsidP="00A075D3">
      <w:pPr>
        <w:keepNext/>
        <w:keepLines/>
        <w:tabs>
          <w:tab w:val="left" w:pos="284"/>
        </w:tabs>
        <w:spacing w:before="160" w:after="80" w:line="240" w:lineRule="auto"/>
        <w:ind w:left="284" w:hanging="284"/>
        <w:jc w:val="right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A075D3">
        <w:rPr>
          <w:rFonts w:ascii="Times New Roman" w:eastAsiaTheme="majorEastAsia" w:hAnsi="Times New Roman" w:cs="Times New Roman"/>
          <w:bCs/>
          <w:color w:val="000000" w:themeColor="text1"/>
          <w:kern w:val="0"/>
          <w:lang w:eastAsia="pl-PL"/>
          <w14:ligatures w14:val="none"/>
        </w:rPr>
        <w:t>Załącznik nr 1 do umowy</w:t>
      </w:r>
    </w:p>
    <w:p w14:paraId="0EA0A76B" w14:textId="77777777" w:rsidR="00A075D3" w:rsidRPr="00A075D3" w:rsidRDefault="00A075D3" w:rsidP="00A075D3">
      <w:pPr>
        <w:keepNext/>
        <w:keepLines/>
        <w:tabs>
          <w:tab w:val="left" w:pos="284"/>
        </w:tabs>
        <w:spacing w:before="160" w:after="80" w:line="240" w:lineRule="auto"/>
        <w:ind w:left="284" w:hanging="284"/>
        <w:jc w:val="center"/>
        <w:outlineLvl w:val="2"/>
        <w:rPr>
          <w:rFonts w:ascii="Times New Roman" w:eastAsiaTheme="majorEastAsia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A075D3">
        <w:rPr>
          <w:rFonts w:ascii="Times New Roman" w:eastAsiaTheme="majorEastAsia" w:hAnsi="Times New Roman" w:cs="Times New Roman"/>
          <w:bCs/>
          <w:color w:val="000000" w:themeColor="text1"/>
          <w:kern w:val="0"/>
          <w:lang w:eastAsia="pl-PL"/>
          <w14:ligatures w14:val="none"/>
        </w:rPr>
        <w:t>OPIS PRZEDMIOTU ZAMÓWIENIA dla części 1</w:t>
      </w:r>
    </w:p>
    <w:p w14:paraId="4443621A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175C0E" w14:textId="798AFD2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Przedmiotem zamówieni</w:t>
      </w:r>
      <w:r w:rsidR="004946C1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a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jest wykonanie usługi polegającej na bieżącym utrzymaniu i pielęgnacji zieleni na terenie Gminy Kosakowo w 2025 roku. </w:t>
      </w:r>
    </w:p>
    <w:p w14:paraId="63337268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Przedmiot zamówienia będzie realizowany w terminie: od dnia zawarcia umowy do 15.12.2025 r.</w:t>
      </w:r>
    </w:p>
    <w:p w14:paraId="47B8DA25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Usługa będąca przedmiotem zamówienia określona jest Wspólnym Słowniku Zamówień (CPV) pod nazwą:</w:t>
      </w:r>
    </w:p>
    <w:p w14:paraId="19959988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CPV  77310000-6 - Usługi sadzenia roślin oraz utrzymania terenów zielonych</w:t>
      </w:r>
    </w:p>
    <w:p w14:paraId="1B2FB2F3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CPV  77312100-1 - Usługi odchwaszczania </w:t>
      </w:r>
    </w:p>
    <w:p w14:paraId="0FF0E521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CPV  77314100-5 - Usługi w zakresie trawników</w:t>
      </w:r>
    </w:p>
    <w:p w14:paraId="2792D617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CPV  77211400-6 - Usługi wycinania drzew</w:t>
      </w:r>
    </w:p>
    <w:p w14:paraId="472C058C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CPV  77211500-7 - Usługi pielęgnacji drzew</w:t>
      </w:r>
    </w:p>
    <w:p w14:paraId="7EDDB9DA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CPV  77342000-9 - Przycinanie żywopłotów</w:t>
      </w:r>
    </w:p>
    <w:p w14:paraId="1B2FD2EA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Wymagane jest wykazanie kierownika prac do sprawowania nadzoru nad wszystkimi pracami związanymi z bieżącym utrzymaniem i pielęgnacją zieleni na terenie Gminy Kosakowo. Nadzór polegał będzie na uczestniczeniu przy wykonywaniu prac związanych z utrzymaniem zieleni. Kierownik odpowiedzialny za zakres i jakość wykonanych prac uczestniczyć będzie w okresowych i miesięcznych odbiorach robót.</w:t>
      </w:r>
    </w:p>
    <w:p w14:paraId="14BB1215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 szczególności zakres przedmiotu zamówienia obejmuje:</w:t>
      </w:r>
    </w:p>
    <w:p w14:paraId="67B17682" w14:textId="77777777" w:rsidR="00A075D3" w:rsidRPr="00A075D3" w:rsidRDefault="00A075D3" w:rsidP="00A075D3">
      <w:pPr>
        <w:widowControl w:val="0"/>
        <w:numPr>
          <w:ilvl w:val="0"/>
          <w:numId w:val="3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Przygotowanie podłoża, obsadzenie i utrzymanie roślinności sezonowej w gazonach, kwiatonach i w gruncie na terenie Gminy Kosakowo. W okresie wegetacji Wykonawca uzupełnia niedobory roślinności spowodowane zniszczeniem, kradzieżą i innymi zdarzeniami losowymi. Wykonawca gwarantuje wysoką jakość roślin sezonowych w całym okresie wegetacji (zdrowy, jednorodny materiał roślinny, sadzony w początkowej fazie kwitnienia, zapewniający długotrwały efekt kwitnienia). W przypadku negatywnej oceny jakości kwiatów przez Zamawiającego ma on prawo żądać wymiany części lub całości materiału sadzeniowego w celu osiągnięcia właściwego efektu. </w:t>
      </w:r>
    </w:p>
    <w:p w14:paraId="1E1C52FD" w14:textId="05DE63DC" w:rsidR="00A075D3" w:rsidRPr="00A075D3" w:rsidRDefault="00A075D3" w:rsidP="00A075D3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FF2B84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 xml:space="preserve">Wykonawca dostarczy i posadzi łącznie 14 400 szt. roślin sezonowych. Należy założyć dwukrotną zmianę </w:t>
      </w:r>
      <w:proofErr w:type="spellStart"/>
      <w:r w:rsidRPr="00FF2B84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>nasadzeń</w:t>
      </w:r>
      <w:proofErr w:type="spellEnd"/>
      <w:r w:rsidRPr="00FF2B84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 xml:space="preserve"> roślin sezonowych we wszystkich gazonach, kwiatonach oraz                   w gruncie, w terminach: pierwsze nasadzenie sezon wiosenny - w ciągu </w:t>
      </w:r>
      <w:r w:rsidR="00820532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>14</w:t>
      </w:r>
      <w:r w:rsidRPr="00FF2B84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 xml:space="preserve"> dni od podpisania umowy i drugie nasadzenie sezon letni - </w:t>
      </w:r>
      <w:r w:rsidR="00820532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>od</w:t>
      </w:r>
      <w:r w:rsidRPr="00FF2B84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 xml:space="preserve"> 15 czerwca</w:t>
      </w:r>
      <w:r w:rsidR="000B6282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 xml:space="preserve"> do 5 lipca</w:t>
      </w:r>
      <w:r w:rsidRPr="00FF2B84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>. Zamawiający wyznaczy miejsca</w:t>
      </w:r>
      <w:r w:rsidR="000B6282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>,</w:t>
      </w:r>
      <w:r w:rsidRPr="00FF2B84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 xml:space="preserve"> w których Wykonawca dokona trzeciej zmiany roślin sezonowych. Opcjonalnie trzecie nasadzenie roślin dotyczy sezonu jesiennego – w terminie do 18 października</w:t>
      </w:r>
      <w:r w:rsidR="004946C1" w:rsidRPr="00FF2B84">
        <w:rPr>
          <w:rFonts w:ascii="Times New Roman" w:eastAsia="Lucida Sans Unicode" w:hAnsi="Times New Roman" w:cs="Times New Roman"/>
          <w:bCs/>
          <w:kern w:val="1"/>
          <w:highlight w:val="yellow"/>
          <w:lang w:eastAsia="pl-PL"/>
          <w14:ligatures w14:val="none"/>
        </w:rPr>
        <w:t>.</w:t>
      </w:r>
    </w:p>
    <w:p w14:paraId="3FA86DC1" w14:textId="29B2F23B" w:rsidR="00A075D3" w:rsidRPr="00A075D3" w:rsidRDefault="00A075D3" w:rsidP="00A075D3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Wykaz ilości gazonów, kwiatonów i powierzchni w gruncie do </w:t>
      </w:r>
      <w:proofErr w:type="spellStart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nasadzeń</w:t>
      </w:r>
      <w:proofErr w:type="spellEnd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roślinnością sezonową stanowi załącznik nr 11</w:t>
      </w:r>
      <w:r w:rsidR="00BD7685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A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do SWZ. Zawiera on również ilości roślin sezonowych szacowaną do nasadzenia w poszczególnych typach pojemników. </w:t>
      </w:r>
    </w:p>
    <w:p w14:paraId="3B8767A5" w14:textId="4E8E116B" w:rsidR="00A075D3" w:rsidRPr="00A075D3" w:rsidRDefault="00A075D3" w:rsidP="00A075D3">
      <w:pPr>
        <w:widowControl w:val="0"/>
        <w:numPr>
          <w:ilvl w:val="0"/>
          <w:numId w:val="3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Utrzymanie i pielęgnacja obsadzonych roślinnością sezonową gazonów, kwiatonów </w:t>
      </w:r>
      <w:r w:rsidR="00D271B0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i powierzchni w gruncie, objętych niniejszym zamówieniem, obejmuje: odchwaszczanie, podlewanie, nawożenie nawozami wieloskładnikowymi i dosadzanie brakujących roślin. </w:t>
      </w:r>
    </w:p>
    <w:p w14:paraId="549FF94F" w14:textId="795568E6" w:rsidR="00A075D3" w:rsidRPr="00A075D3" w:rsidRDefault="00A075D3" w:rsidP="00A075D3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Podlewanie należy dopasować do panujących warunków atmosferycznych i wymagań gatunkowych roślin. Konieczne jest podlewanie roślin bezpośrednio po posadzeniu roślin. </w:t>
      </w:r>
      <w:r w:rsidR="00D271B0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Po podlaniu gleba powinna być nasiąknięta na głębokość 15 cm. Zapewnienie wody </w:t>
      </w:r>
      <w:r w:rsidR="00D271B0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do podlewania należy do Wykonawcy. W trakcie suszy należy podlewać rośliny systematycznie w odstępach od 1-2 dni. Podlewanie roślin należy realizować w godzinach późnowieczornych lub wcześnie rano. Niedopuszczalne jest podlewanie roślin w godzinach 9.</w:t>
      </w:r>
      <w:r w:rsidR="00D271B0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00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-20.</w:t>
      </w:r>
      <w:r w:rsidR="00D271B0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00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oraz stwarzanie utrudnień w ruchu.</w:t>
      </w:r>
    </w:p>
    <w:p w14:paraId="182C39C6" w14:textId="52EBFF35" w:rsidR="00A075D3" w:rsidRPr="00A075D3" w:rsidRDefault="00A075D3" w:rsidP="00A075D3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Nawożenie należy wykonywać nawozami wieloskładnikowymi o długotrwałym działaniu. Systematycznie usuwać przekwitłe, suche i nieestetycznie wyglądające kwiatostany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i obumarłe części roślin. </w:t>
      </w:r>
    </w:p>
    <w:p w14:paraId="73B10DE2" w14:textId="77777777" w:rsidR="00A075D3" w:rsidRPr="00A075D3" w:rsidRDefault="00A075D3" w:rsidP="00A075D3">
      <w:pPr>
        <w:widowControl w:val="0"/>
        <w:numPr>
          <w:ilvl w:val="0"/>
          <w:numId w:val="3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bookmarkStart w:id="0" w:name="_Hlk156215295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Utrzymanie i pielęgnacja rabat obsadzonych roślinnością wieloletnią, krzewami, trawami, różami w zakresie niniejszego zamówienia dotyczy odchwaszczania, nawożenia nawozami wieloskładnikowymi, spulchnianie podłoża, usuwanie zaschłych liści i obumarłych części roślin, pielęgnacyjnego przycinania i ograniczanie ekspansji w miejscach nadmiernego rozrostu. </w:t>
      </w:r>
    </w:p>
    <w:p w14:paraId="6A6E96B4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szczególności dotyczy roślinności rosnącej na terenach: </w:t>
      </w:r>
    </w:p>
    <w:p w14:paraId="2F985E1E" w14:textId="42AA7549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Mechelinkach: wzdłuż Promenady Nadmorskiej, w otoczeniu pętli autobusowej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ul. Szkolna; </w:t>
      </w:r>
    </w:p>
    <w:p w14:paraId="035F7FDE" w14:textId="206253FA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Rewie: wzdłuż Promenady, w otoczeniu pętli autobusowej przy ul. Bursztynowej, teren rekreacyjny przy ul. Koralowej, w otoczeniu małej architektury - „Żagiel” przy Molo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i „Kotwica” przy ul. Rybackiej, teren zieleni urządzonej wzdłuż ul. Morskiej od liter przestrzennych I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sym w:font="Symbol" w:char="F0A9"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REWA do siłowni plenerowej; </w:t>
      </w:r>
    </w:p>
    <w:p w14:paraId="01B90865" w14:textId="77777777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Mostach: na Alei Lipowej i jej otoczeniu przy placu zabaw i pomniku, zieleniec przy ul. Ogrodowej, w otoczeniu skrzyżowania ulic Gdyńskiej i Szkolnej, w otoczeniu witacza „MOSTY”; </w:t>
      </w:r>
    </w:p>
    <w:p w14:paraId="3283CCA1" w14:textId="773C6B38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Pierwoszynie: na terenie rekreacyjnym „Odpocznijmy razem”, w otoczeniu stawu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oraz wokół Kosakowskiego Centrum Kultury, zieleńce przy ul. Wiśniowej i ul. Figowej, w otoczeniu skrzyżowania ul. Kaszubskiej i Rumskiej; </w:t>
      </w:r>
    </w:p>
    <w:p w14:paraId="054E1057" w14:textId="63EA3588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Kosakowie: teren nad stawem, przy pomnikach (ul. Żeromskiego), w otoczeniu witacza „GMINA KOSKOWO” oraz ronda im. Obrońców Kępy Oksywskiej i ronda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im. Ks. Kaszubowskiego; </w:t>
      </w:r>
    </w:p>
    <w:p w14:paraId="1ED5878A" w14:textId="2B149BB7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Pogórzu: teren zieleni przy zbiorniku retencyjnym na Osiedlu Beauforta, teren zieleni przy zbiorniku retencyjnym ul. Kościuszki, w otoczeniu stawu przy ul. Słowackiego,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otoczeniu witacza „POGÓRZE” i zieleniec przy ul. Mickiewicza, </w:t>
      </w:r>
    </w:p>
    <w:p w14:paraId="00BD79E0" w14:textId="50A6983E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Dębogórzu: teren nad stawem przy ul. Roślinnej, w otoczeni Obelisku i pomnika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(ul. Pomorska), Skwer przy ul. Pomorskiej; </w:t>
      </w:r>
    </w:p>
    <w:p w14:paraId="7FF93773" w14:textId="222B576B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Kazimierzu: w otoczeniu witacza „KAZIMIERZ”, zieleniec przy obelisku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ul. grudniowa. Otoczenie kapliczki przy ul. Św. Marka; </w:t>
      </w:r>
    </w:p>
    <w:p w14:paraId="16D13602" w14:textId="348F7B37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Dębogórzu Wybudowanie: w otoczeniu pętli autobusowej przy ul. Dębogórskiej 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i ul. Długiej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;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</w:t>
      </w:r>
    </w:p>
    <w:p w14:paraId="7311BA13" w14:textId="794C6E1B" w:rsidR="00A075D3" w:rsidRPr="00A075D3" w:rsidRDefault="00A075D3" w:rsidP="00A075D3">
      <w:pPr>
        <w:widowControl w:val="0"/>
        <w:numPr>
          <w:ilvl w:val="0"/>
          <w:numId w:val="5"/>
        </w:numPr>
        <w:suppressAutoHyphens/>
        <w:spacing w:after="0" w:line="240" w:lineRule="auto"/>
        <w:ind w:left="127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 Suchym Dworze: przy zbiorniku retencyjnym ul. Żurawia, zieleń na końcowym odcinku ul. Kochanowskiego (przy wejściu do lasu)</w:t>
      </w:r>
      <w:r w:rsidR="000072DA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.</w:t>
      </w:r>
    </w:p>
    <w:p w14:paraId="0A1C5275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</w:p>
    <w:p w14:paraId="7B94072D" w14:textId="09843EDC" w:rsidR="00A075D3" w:rsidRPr="00285DF8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Należy zastosować </w:t>
      </w:r>
      <w:r w:rsidRPr="00285DF8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korowanie powierzchni pod rosnącymi roślinami lub wysypanie kamienia </w:t>
      </w:r>
      <w:r w:rsidR="00A901F7" w:rsidRPr="00285DF8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285DF8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na rabatach w miejscach znacznego ich ubytku lub dewastacji. Zamawiający może wskazanych inne miejsca wykonania tej usługi.</w:t>
      </w:r>
    </w:p>
    <w:p w14:paraId="78E43DC8" w14:textId="77777777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</w:p>
    <w:bookmarkEnd w:id="0"/>
    <w:p w14:paraId="67232C59" w14:textId="316C36F2" w:rsidR="00A075D3" w:rsidRPr="00A075D3" w:rsidRDefault="00A075D3" w:rsidP="00A075D3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Wykonawca dostarczy i posadzi drzewa w miejscach wskazanych przez Zamawiającego.  </w:t>
      </w:r>
      <w:r w:rsidR="00A901F7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Dobór gatunków zostanie uzgodniony z Zamawiającym. Po posadzeniu drzewa należy odpowiednio je zabezpieczyć, tak aby nie doszło do uszkodzenia m.in. złamania lub wywrócenia. Należy zastosować trzy paliki połączone w dolnej i górnej części poprzeczkami oraz taśmy stabilizujące drzewo. Wokół pnia wykonać na gruncie zagłębioną misę. </w:t>
      </w:r>
    </w:p>
    <w:p w14:paraId="4B693490" w14:textId="1F84B527" w:rsidR="00A075D3" w:rsidRPr="00A075D3" w:rsidRDefault="00A075D3" w:rsidP="00A075D3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Wykonawca dostarczy i posadzi ozdobne rośliny pnące i cebulowe w miejscach wskazanych </w:t>
      </w:r>
      <w:r w:rsidR="00A901F7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przez Zamawiającego. Dobór roślin zostanie uzgodniony z Zamawiającym.</w:t>
      </w:r>
    </w:p>
    <w:p w14:paraId="1E12572D" w14:textId="41265C31" w:rsidR="00A075D3" w:rsidRPr="00A075D3" w:rsidRDefault="00A075D3" w:rsidP="00A075D3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Wykonawca obsadzi roślinami sezonowymi pojemniki gazon keramzytowy „typu cukierek”, </w:t>
      </w:r>
      <w:r w:rsidR="00A901F7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gazon betonowy, kwiatony typu: kwiaton duży (wieża kwiatowa), donice polipropylenowe, wiszące (kaskada) i skrzynka kwiatowa.</w:t>
      </w:r>
    </w:p>
    <w:p w14:paraId="40A70B2D" w14:textId="77777777" w:rsidR="00A075D3" w:rsidRPr="00A075D3" w:rsidRDefault="00A075D3" w:rsidP="00A075D3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Pielęgnacja drzew i krzewów w zakresie niniejszego zamówienia dotyczy wykonania: </w:t>
      </w:r>
    </w:p>
    <w:p w14:paraId="63648F2B" w14:textId="77AB9CC6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cięcia formującego, korygującego, sanitarnego, prześwietlającego w koronach drzew, przycinania konarów lub części korony z uwagi na kolizję z infrastrukturą techniczną, </w:t>
      </w:r>
      <w:r w:rsidR="00A901F7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kolizje drogową, ograniczenie widoczności,</w:t>
      </w:r>
    </w:p>
    <w:p w14:paraId="23D54BF3" w14:textId="77777777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przesadzenia lub posadzenia drzewa z dbałością o zabezpieczenie bryły korzeniowej przed niekorzystnym działaniem warunków w szczególności przesuszenie, </w:t>
      </w:r>
    </w:p>
    <w:p w14:paraId="48CF6F43" w14:textId="77777777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wycięcia drzew wraz z niezbędnym karczowaniem / frezowaniem bryły korzeniowej, </w:t>
      </w:r>
    </w:p>
    <w:p w14:paraId="58EC29D7" w14:textId="77777777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przycinania lub wycinania krzewów, </w:t>
      </w:r>
    </w:p>
    <w:p w14:paraId="770E0866" w14:textId="77777777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wycinania samosiewek w szczególności wchodzących w światło skrajni drogi powodujących ograniczenie widoczności,</w:t>
      </w:r>
    </w:p>
    <w:p w14:paraId="70653573" w14:textId="77777777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przycinania żywopłotów,</w:t>
      </w:r>
    </w:p>
    <w:p w14:paraId="75C07B7A" w14:textId="77777777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usuwania odrostów korzeniowych i pniowych,</w:t>
      </w:r>
    </w:p>
    <w:p w14:paraId="744DFD84" w14:textId="77777777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ustawiania nowych i konserwacja istniejących podpór tj. wymiana uszkodzonych elementów podpór i wiązań,</w:t>
      </w:r>
    </w:p>
    <w:p w14:paraId="6F039714" w14:textId="77777777" w:rsidR="00A075D3" w:rsidRPr="00A075D3" w:rsidRDefault="00A075D3" w:rsidP="00A075D3">
      <w:pPr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prac pielęgnacyjno-sanitarnych na drzewach ustanowionych Pomnikami przyrody.</w:t>
      </w:r>
    </w:p>
    <w:p w14:paraId="77C7CA48" w14:textId="0DAA5FB4" w:rsidR="00A075D3" w:rsidRPr="00A075D3" w:rsidRDefault="00A075D3" w:rsidP="00A075D3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Zamawiający wskaże lokalizacje</w:t>
      </w:r>
      <w:r w:rsidR="00A901F7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,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w których będą realizowane powyższe prace.  </w:t>
      </w:r>
    </w:p>
    <w:p w14:paraId="46A81B46" w14:textId="1F018B64" w:rsidR="00A075D3" w:rsidRPr="00A075D3" w:rsidRDefault="00A075D3" w:rsidP="00A075D3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Pielęgnacja i utrzymywanie terenów zieleni o łącznej powierzchni 1 013 202 m</w:t>
      </w:r>
      <w:r w:rsidRPr="00A075D3">
        <w:rPr>
          <w:rFonts w:ascii="Times New Roman" w:eastAsia="Lucida Sans Unicode" w:hAnsi="Times New Roman" w:cs="Times New Roman"/>
          <w:bCs/>
          <w:kern w:val="1"/>
          <w:vertAlign w:val="superscript"/>
          <w:lang w:eastAsia="pl-PL"/>
          <w14:ligatures w14:val="none"/>
        </w:rPr>
        <w:t>2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, polegającej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na koszeniu trawy w pasach drogowych dróg gminnych, na zjazdach z tych dróg w drogi boczne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celu poprawy widoczności i bezpieczeństwa oraz w otoczeniu zbiorników retencyjnych,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na terenach zieleni i innych terenach gminnych. Powierzchnię i lokalizację </w:t>
      </w:r>
      <w:bookmarkStart w:id="1" w:name="_Hlk62504897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terenów zieleni objętych utrzymaniem polegającym na koszeniu trawy</w:t>
      </w:r>
      <w:bookmarkEnd w:id="1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, wyszczególniono w załączniku nr 11A do SWZ. Wykonawca do wykonania zamówienia dobiera właściwy sprzęt odpowiedni do wysokości trawy, wielkości i ukształtowania powierzchni przeznaczonej do koszenia. Wysokość trawy bezpośrednio po skoszeniu na żadnym fragmencie skoszonego terenu nie może przekraczać 5 cm. Wygrabienie z trawnika skoszonej trawy, zebranie i wywóz biomasy należy wykonać tego samego dnia. Zagospodarowanie biomasy należy wykonać zgodnie z obowiązującymi przepisami. Dopuszcza się używanie dmuchaw do uprzątania skoszonej trawy z alejek, chodników i jezdni. </w:t>
      </w:r>
    </w:p>
    <w:p w14:paraId="3A2B34A8" w14:textId="194D394C" w:rsidR="00A075D3" w:rsidRPr="00A075D3" w:rsidRDefault="00A075D3" w:rsidP="00A075D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Zamawiający w ramach niniejszego zamówienia może wskazać inne dodatkowe miejsca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,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w których należy wykonać koszenie trawy.  </w:t>
      </w:r>
    </w:p>
    <w:p w14:paraId="268FDDE9" w14:textId="429BD46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Wywóz i zagospodarowanie biomasy i innych odpadów Wykonawca organizuje we własnym zakresie zgodnie z obowiązującymi przepisami. Podczas wykonywania prac transportowych polegających między innymi na wywozie chwastów, gałęzi, pozostałych resztek należy stosować dowolny środek transportu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,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jednakże odpady winny być zabezpieczone przed możliwością wypadnięcia ze środka transportu. </w:t>
      </w:r>
    </w:p>
    <w:p w14:paraId="7840F50E" w14:textId="2AC5F203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Wykonawca zobowiązany jest do usunięcia na swój koszt wszelkich szkód spowodowanych,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m.in. pojazdami na chodnikach, trawnikach oraz dojazdach do miejsc wykonywania prac,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które powstały w trakcie wykonywania prac pielęgnacyjnych.</w:t>
      </w:r>
    </w:p>
    <w:p w14:paraId="6F0609E0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Do pielęgnacji i ochrony roślin przed chorobami i szkodnikami dopuszcza się tylko te środki ochrony roślin, które przy prawidłowym stosowaniu, zgodnie z ich przeznaczeniem nie stanowią zagrożenia dla zdrowia człowieka, zwierząt lub środowiska i posiadają zezwolenie na dopuszczenie do obrotu na terytorium Polski. Wykonawca odpowiada za prawidłowe przeprowadzenie zabiegów ochrony roślin.</w:t>
      </w:r>
    </w:p>
    <w:p w14:paraId="55B5D6E0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Wszystkie prace w drzewostanie należy prowadzić w oparciu o ustawę o ochronie przyrody.</w:t>
      </w:r>
    </w:p>
    <w:p w14:paraId="3C013CFF" w14:textId="06E22E8A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Świadczenie usług przez Wykonawcę musi odbywać się w zgodzie z wiedzą ogrodniczą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i techniczną oraz obowiązującymi przepisami prawa, między innymi przepisami ustawy o ochronie przyrody oraz o utrzymaniu czystości w gminach. </w:t>
      </w:r>
    </w:p>
    <w:p w14:paraId="168DD283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Zamawiający zaznacza, iż podana w formularzu cenowym szacunkowa ilość jednostek służy jedynie wycenie prac.</w:t>
      </w:r>
    </w:p>
    <w:p w14:paraId="59D1B731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Przewidywane zakresy prac podane w formularzu ofertowym mają charakter orientacyjny i służą do ustalenia ceny składanej przez Wykonawcę oferty i mogą ulec zwiększeniu lub zmniejszeniu zależności od potrzeb zamawiającego. </w:t>
      </w:r>
    </w:p>
    <w:p w14:paraId="5D6DB734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uzasadnionych przypadkach, dopuszcza się zmianę terminów wykonywania prac za zgodą Zamawiającego wyrażoną na piśmie, drogą elektroniczną lub faksem. </w:t>
      </w:r>
    </w:p>
    <w:p w14:paraId="551A2F04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 uzasadnionych przypadkach, dopuszcza się rezygnacje z wykonania niektórych prac za życzenie Zamawiającego wyrażone na piśmie, drogą elektroniczną lub faksem.</w:t>
      </w:r>
    </w:p>
    <w:p w14:paraId="688A8039" w14:textId="2E20289E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Wykonawca zapewni środki transportu, maszyny i narządzenia spełniające obowiązujące normy emisji spalin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,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które uwzględniają potrzeby ochrony powietrza przed zanieczyszczeniem.</w:t>
      </w:r>
    </w:p>
    <w:p w14:paraId="2465E765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Wykonawca zobowiązany jest do utrzymywania porządku na terenach zieleni. </w:t>
      </w:r>
    </w:p>
    <w:p w14:paraId="746ADB9D" w14:textId="77777777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Prace zanikające będą zgłaszane przez Wykonawcę do odbioru Zamawiającego natychmiast po ich zakończeniu w dniu ich wykonania, w celu potwierdzenia ich realizacji. </w:t>
      </w:r>
    </w:p>
    <w:p w14:paraId="427812A4" w14:textId="6FE6A4F4" w:rsidR="00A075D3" w:rsidRPr="00A075D3" w:rsidRDefault="00A075D3" w:rsidP="00A075D3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 treści SWZ użyto następując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ych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poję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ć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:</w:t>
      </w:r>
    </w:p>
    <w:p w14:paraId="136FFA1E" w14:textId="553255CE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Rośliny sezonowe – definicja obejmuje rośliny jednoroczne sadzone w pojemnikach w jednym sezonie: wiosennym lub letnim lub jesiennym.</w:t>
      </w:r>
    </w:p>
    <w:p w14:paraId="49DB10E3" w14:textId="69289AF3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Susza - oznacza brak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</w:t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opadów skutkiem czego jest przesuszenie gruntu na głębokość 15 cm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 przypadku </w:t>
      </w:r>
      <w:proofErr w:type="spellStart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nasadzeń</w:t>
      </w:r>
      <w:proofErr w:type="spellEnd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kwiatów sezonowych w pojemnikach.</w:t>
      </w:r>
    </w:p>
    <w:p w14:paraId="7423B2F2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Korowanie </w:t>
      </w:r>
      <w:proofErr w:type="spellStart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nasadzeń</w:t>
      </w:r>
      <w:proofErr w:type="spellEnd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– wysypanie korą powierzchni podłoża pod nasadzonymi roślinami.</w:t>
      </w:r>
    </w:p>
    <w:p w14:paraId="1894EFFE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Koszenie interwencyjne – dotyczy wykonania dodatkowego koszenia trawy na zlecenie Zamawiającego na terenie objętym zamówieniem.</w:t>
      </w:r>
    </w:p>
    <w:p w14:paraId="24C7A357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Obwód pnia – mierzony na wysokości 130 cm nad gruntem</w:t>
      </w:r>
    </w:p>
    <w:p w14:paraId="19D1FFB3" w14:textId="55CD4D58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Cięcie formujące – polega na skracaniu zeszłorocznych lub tegorocznych przyrostów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dla nadania drzewom odpowiedniego kształtu, zagęszczenia korony i wywołania obfitego kwitnienia. Wykonując ciecie formujące pędy można skracać o 1/3 lub nawet 1/2 długości.</w:t>
      </w:r>
    </w:p>
    <w:p w14:paraId="284B2742" w14:textId="401D067B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Ciecie korygujące - polega na usuwanie pędów krzyżujących się, które deformują koronę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i sprawiają, że do jej wnętrza dociera za mało światła. </w:t>
      </w:r>
    </w:p>
    <w:p w14:paraId="662DCF6A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Cięcie prześwietlające – polega na celu rozluźnienie korony, aby do jej wnętrza dochodziło więcej światła. Jednorazowo można usunąć nie więcej niż 15% korony drzewa.</w:t>
      </w:r>
    </w:p>
    <w:p w14:paraId="067AF771" w14:textId="348E6A89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Cięcie sanitarne – polega na usunięciu suchych, chorych i uszkodzonych pędów,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które są potencjalnym ogniskiem infekcji, a ponadto wyglądają nieestetycznie i mogą spaść na ziemię podczas wiatru lub pod ciężarem śniegu.</w:t>
      </w:r>
    </w:p>
    <w:p w14:paraId="36736D0A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Przycięcie krzewów – cięcie polegające na obniżeniu, przerzedzeniu korony, skróceniu pędów, usunięciu pędów suchych, chorych. Intensywność cięcia zależy od szybkości wzrostu krzewów. Wywóz pozyskanego materiału i uporządkowanie miejsca pracy. </w:t>
      </w:r>
    </w:p>
    <w:p w14:paraId="052ADAF3" w14:textId="5699D90B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Wycinka drzew i krzewów – obejmuje wycinkę poniżej poziomu gruntu, wybranie zrębków, zasypanie dołu ziemią urodzajną, wyrwanie terenu, wywóz pozyskanego materiału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i uporządkowanie miejsca pracy.</w:t>
      </w:r>
    </w:p>
    <w:p w14:paraId="581E463C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Karczowanie bryły korzeniowej – obejmuje odkopanie bryły korzeniowej, usunięcie korzeni i zasypanie ziemia urodzajną dołu po usuniętych korzeniach, wyrównanie terenu do poziomu terenu otaczającego. </w:t>
      </w:r>
    </w:p>
    <w:p w14:paraId="1C796136" w14:textId="67285B94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Frezowanie bryły korzeniowej – polega na mechanicznym usuwaniu pozostałości drewna </w:t>
      </w:r>
      <w:r w:rsidR="0090363C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br/>
      </w: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po ściętych drzewach. Obejmuje zasypanie ziemia urodzajną dołu po usuniętych korzeniach, wyrównanie terenu do poziomu terenu otaczającego.</w:t>
      </w:r>
    </w:p>
    <w:p w14:paraId="7793204B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Usuwanie odrostów – usuwanie pędów odrastających do korzeni lub w dolnej części pnia. </w:t>
      </w:r>
    </w:p>
    <w:p w14:paraId="624AC89E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Mycie gazonu dużego – polega na oczyszczeniu woda pod ciśnieniem powierzchni zewnętrznych gazonu dużego betonowego.</w:t>
      </w:r>
    </w:p>
    <w:p w14:paraId="69FF3A79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Aeracja trawnika – polega na napowietrzeniu gleby za pomocą narzędzi lub maszyn spulchniających. Służy to rozluźnieniu podłoża i pobudzeniu trawy do krzewienia się.</w:t>
      </w:r>
    </w:p>
    <w:p w14:paraId="7F73356E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proofErr w:type="spellStart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Wertykulacja</w:t>
      </w:r>
      <w:proofErr w:type="spellEnd"/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 xml:space="preserve"> trawnika – polega na płytkim pionowym nacięciu darni, wyczesania starej trawy, oczyszczeniu z mchu i filcu. </w:t>
      </w:r>
    </w:p>
    <w:p w14:paraId="01D5B85F" w14:textId="77777777" w:rsidR="00A075D3" w:rsidRPr="00A075D3" w:rsidRDefault="00A075D3" w:rsidP="00A075D3">
      <w:pPr>
        <w:widowControl w:val="0"/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r w:rsidRPr="00A075D3"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  <w:t>Misa drzewka – powierzchnia gruntu wokoło pnia drzewa w formie płytkiego zagłębienia, utrzymywana bez roślinności.</w:t>
      </w:r>
    </w:p>
    <w:p w14:paraId="7F0ECE47" w14:textId="77777777" w:rsidR="00A075D3" w:rsidRPr="00A075D3" w:rsidRDefault="00A075D3" w:rsidP="00A075D3">
      <w:pPr>
        <w:widowControl w:val="0"/>
        <w:tabs>
          <w:tab w:val="left" w:pos="567"/>
        </w:tabs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lang w:eastAsia="pl-PL"/>
          <w14:ligatures w14:val="none"/>
        </w:rPr>
      </w:pPr>
      <w:bookmarkStart w:id="2" w:name="_Hlk156990697"/>
    </w:p>
    <w:bookmarkEnd w:id="2"/>
    <w:p w14:paraId="760C7BB8" w14:textId="77777777" w:rsidR="00A075D3" w:rsidRPr="00A075D3" w:rsidRDefault="00A075D3" w:rsidP="00A075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DC2017" w14:textId="77777777" w:rsidR="00243CB7" w:rsidRDefault="00243CB7"/>
    <w:sectPr w:rsidR="00243CB7" w:rsidSect="00A075D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6472"/>
    <w:multiLevelType w:val="hybridMultilevel"/>
    <w:tmpl w:val="5412C94C"/>
    <w:lvl w:ilvl="0" w:tplc="E4924F60">
      <w:start w:val="1"/>
      <w:numFmt w:val="bullet"/>
      <w:lvlText w:val="‒"/>
      <w:lvlJc w:val="left"/>
      <w:pPr>
        <w:ind w:left="1713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2004908"/>
    <w:multiLevelType w:val="hybridMultilevel"/>
    <w:tmpl w:val="3AAC49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895F44"/>
    <w:multiLevelType w:val="hybridMultilevel"/>
    <w:tmpl w:val="F676C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B35B6"/>
    <w:multiLevelType w:val="hybridMultilevel"/>
    <w:tmpl w:val="A17CB336"/>
    <w:lvl w:ilvl="0" w:tplc="A3DCAB06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5A24C86"/>
    <w:multiLevelType w:val="hybridMultilevel"/>
    <w:tmpl w:val="090E9C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5013003">
    <w:abstractNumId w:val="1"/>
  </w:num>
  <w:num w:numId="2" w16cid:durableId="473109624">
    <w:abstractNumId w:val="3"/>
  </w:num>
  <w:num w:numId="3" w16cid:durableId="1853254440">
    <w:abstractNumId w:val="4"/>
  </w:num>
  <w:num w:numId="4" w16cid:durableId="482549571">
    <w:abstractNumId w:val="0"/>
  </w:num>
  <w:num w:numId="5" w16cid:durableId="1697341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D3"/>
    <w:rsid w:val="000072DA"/>
    <w:rsid w:val="000B6282"/>
    <w:rsid w:val="00243CB7"/>
    <w:rsid w:val="00285DF8"/>
    <w:rsid w:val="002A0569"/>
    <w:rsid w:val="003720A1"/>
    <w:rsid w:val="004946C1"/>
    <w:rsid w:val="0055030F"/>
    <w:rsid w:val="005B13EE"/>
    <w:rsid w:val="00820532"/>
    <w:rsid w:val="0090363C"/>
    <w:rsid w:val="00A075D3"/>
    <w:rsid w:val="00A901F7"/>
    <w:rsid w:val="00BD7685"/>
    <w:rsid w:val="00D271B0"/>
    <w:rsid w:val="00D66A9A"/>
    <w:rsid w:val="00DC50EF"/>
    <w:rsid w:val="00FC632C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20D5"/>
  <w15:chartTrackingRefBased/>
  <w15:docId w15:val="{B077DD2E-7A2F-469F-9D27-8EBF988D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5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5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5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5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1986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Joanna Skomska</cp:lastModifiedBy>
  <cp:revision>2</cp:revision>
  <cp:lastPrinted>2025-04-08T09:48:00Z</cp:lastPrinted>
  <dcterms:created xsi:type="dcterms:W3CDTF">2025-04-09T07:11:00Z</dcterms:created>
  <dcterms:modified xsi:type="dcterms:W3CDTF">2025-04-09T07:11:00Z</dcterms:modified>
</cp:coreProperties>
</file>