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3466"/>
      </w:tblGrid>
      <w:tr w:rsidR="00EB2F9E" w:rsidRPr="00EB2F9E" w14:paraId="74842BD2" w14:textId="77777777" w:rsidTr="00E04FF1">
        <w:trPr>
          <w:trHeight w:val="711"/>
        </w:trPr>
        <w:tc>
          <w:tcPr>
            <w:tcW w:w="851" w:type="dxa"/>
            <w:shd w:val="clear" w:color="auto" w:fill="E6E6E6"/>
          </w:tcPr>
          <w:p w14:paraId="3A88DB35" w14:textId="77777777" w:rsidR="00EB2F9E" w:rsidRPr="00EB2F9E" w:rsidRDefault="00EB2F9E" w:rsidP="00EB2F9E">
            <w:pPr>
              <w:spacing w:before="1"/>
              <w:rPr>
                <w:rFonts w:eastAsia="Calibri" w:cstheme="minorHAnsi"/>
                <w:sz w:val="20"/>
                <w:lang w:eastAsia="pl-PL" w:bidi="pl-PL"/>
              </w:rPr>
            </w:pPr>
          </w:p>
          <w:p w14:paraId="2F4E6496" w14:textId="77777777" w:rsidR="00EB2F9E" w:rsidRPr="00EB2F9E" w:rsidRDefault="00EB2F9E" w:rsidP="00EB2F9E">
            <w:pPr>
              <w:spacing w:before="1"/>
              <w:ind w:right="263"/>
              <w:jc w:val="right"/>
              <w:rPr>
                <w:rFonts w:eastAsia="Calibri" w:cstheme="minorHAnsi"/>
                <w:b/>
                <w:sz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b/>
                <w:sz w:val="18"/>
                <w:lang w:eastAsia="pl-PL" w:bidi="pl-PL"/>
              </w:rPr>
              <w:t>Lp</w:t>
            </w:r>
            <w:proofErr w:type="spellEnd"/>
            <w:r w:rsidRPr="00EB2F9E">
              <w:rPr>
                <w:rFonts w:eastAsia="Calibri" w:cstheme="minorHAnsi"/>
                <w:b/>
                <w:sz w:val="18"/>
                <w:lang w:eastAsia="pl-PL" w:bidi="pl-PL"/>
              </w:rPr>
              <w:t>.</w:t>
            </w:r>
          </w:p>
        </w:tc>
        <w:tc>
          <w:tcPr>
            <w:tcW w:w="13466" w:type="dxa"/>
            <w:shd w:val="clear" w:color="auto" w:fill="E6E6E6"/>
          </w:tcPr>
          <w:p w14:paraId="6D758A48" w14:textId="77777777" w:rsidR="00EB2F9E" w:rsidRPr="00EB2F9E" w:rsidRDefault="00EB2F9E" w:rsidP="00EB2F9E">
            <w:pPr>
              <w:spacing w:before="1"/>
              <w:rPr>
                <w:rFonts w:eastAsia="Calibri" w:cstheme="minorHAnsi"/>
                <w:sz w:val="20"/>
                <w:lang w:eastAsia="pl-PL" w:bidi="pl-PL"/>
              </w:rPr>
            </w:pPr>
          </w:p>
          <w:p w14:paraId="5146EA69" w14:textId="77777777" w:rsidR="00EB2F9E" w:rsidRPr="00EB2F9E" w:rsidRDefault="00EB2F9E" w:rsidP="00EB2F9E">
            <w:pPr>
              <w:spacing w:before="1"/>
              <w:ind w:left="99"/>
              <w:rPr>
                <w:rFonts w:eastAsia="Calibri" w:cstheme="minorHAnsi"/>
                <w:b/>
                <w:sz w:val="18"/>
                <w:lang w:eastAsia="pl-PL" w:bidi="pl-PL"/>
              </w:rPr>
            </w:pPr>
            <w:r w:rsidRPr="00EB2F9E">
              <w:rPr>
                <w:rFonts w:eastAsia="Calibri" w:cstheme="minorHAnsi"/>
                <w:b/>
                <w:w w:val="105"/>
                <w:sz w:val="18"/>
                <w:lang w:eastAsia="pl-PL" w:bidi="pl-PL"/>
              </w:rPr>
              <w:t>OPIS PRZEDMIOTU ZAMÓWIENIA DLA LEKKIEGO SAMOCHODU RATOWNICZO – GAŚNICZEGO</w:t>
            </w:r>
          </w:p>
        </w:tc>
      </w:tr>
      <w:tr w:rsidR="00EB2F9E" w:rsidRPr="00EB2F9E" w14:paraId="0E280604" w14:textId="77777777" w:rsidTr="00E04FF1">
        <w:trPr>
          <w:trHeight w:val="249"/>
        </w:trPr>
        <w:tc>
          <w:tcPr>
            <w:tcW w:w="851" w:type="dxa"/>
            <w:shd w:val="clear" w:color="auto" w:fill="A6A6A6"/>
          </w:tcPr>
          <w:p w14:paraId="0D91FE05" w14:textId="77777777" w:rsidR="00EB2F9E" w:rsidRPr="00EB2F9E" w:rsidRDefault="00EB2F9E" w:rsidP="00EB2F9E">
            <w:pPr>
              <w:spacing w:before="7"/>
              <w:ind w:right="301"/>
              <w:jc w:val="right"/>
              <w:rPr>
                <w:rFonts w:eastAsia="Calibri" w:cstheme="minorHAnsi"/>
                <w:b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b/>
                <w:w w:val="105"/>
                <w:sz w:val="18"/>
                <w:szCs w:val="18"/>
                <w:lang w:eastAsia="pl-PL" w:bidi="pl-PL"/>
              </w:rPr>
              <w:t>1.</w:t>
            </w:r>
          </w:p>
        </w:tc>
        <w:tc>
          <w:tcPr>
            <w:tcW w:w="13466" w:type="dxa"/>
            <w:shd w:val="clear" w:color="auto" w:fill="A6A6A6"/>
          </w:tcPr>
          <w:p w14:paraId="34CABA7E" w14:textId="77777777" w:rsidR="00EB2F9E" w:rsidRPr="00EB2F9E" w:rsidRDefault="00EB2F9E" w:rsidP="00EB2F9E">
            <w:pPr>
              <w:spacing w:before="7"/>
              <w:ind w:left="99"/>
              <w:jc w:val="both"/>
              <w:rPr>
                <w:rFonts w:eastAsia="Calibri" w:cstheme="minorHAnsi"/>
                <w:b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b/>
                <w:w w:val="105"/>
                <w:sz w:val="18"/>
                <w:szCs w:val="18"/>
                <w:lang w:eastAsia="pl-PL" w:bidi="pl-PL"/>
              </w:rPr>
              <w:t>Wymagania</w:t>
            </w:r>
            <w:proofErr w:type="spellEnd"/>
            <w:r w:rsidRPr="00EB2F9E">
              <w:rPr>
                <w:rFonts w:eastAsia="Calibri" w:cstheme="minorHAnsi"/>
                <w:b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w w:val="105"/>
                <w:sz w:val="18"/>
                <w:szCs w:val="18"/>
                <w:lang w:eastAsia="pl-PL" w:bidi="pl-PL"/>
              </w:rPr>
              <w:t>ogólne</w:t>
            </w:r>
            <w:proofErr w:type="spellEnd"/>
            <w:r w:rsidRPr="00EB2F9E">
              <w:rPr>
                <w:rFonts w:eastAsia="Calibri" w:cstheme="minorHAnsi"/>
                <w:b/>
                <w:w w:val="105"/>
                <w:sz w:val="18"/>
                <w:szCs w:val="18"/>
                <w:lang w:eastAsia="pl-PL" w:bidi="pl-PL"/>
              </w:rPr>
              <w:t>:</w:t>
            </w:r>
          </w:p>
        </w:tc>
      </w:tr>
      <w:tr w:rsidR="00EB2F9E" w:rsidRPr="00EB2F9E" w14:paraId="436F130B" w14:textId="77777777" w:rsidTr="00E04FF1">
        <w:trPr>
          <w:trHeight w:val="290"/>
        </w:trPr>
        <w:tc>
          <w:tcPr>
            <w:tcW w:w="851" w:type="dxa"/>
            <w:vMerge w:val="restart"/>
          </w:tcPr>
          <w:p w14:paraId="307B754F" w14:textId="77777777" w:rsidR="00EB2F9E" w:rsidRPr="00EB2F9E" w:rsidRDefault="00EB2F9E" w:rsidP="00EB2F9E">
            <w:pPr>
              <w:spacing w:before="7"/>
              <w:ind w:left="244" w:right="240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1.1</w:t>
            </w:r>
          </w:p>
        </w:tc>
        <w:tc>
          <w:tcPr>
            <w:tcW w:w="13466" w:type="dxa"/>
          </w:tcPr>
          <w:p w14:paraId="0B5037D6" w14:textId="27BC04D7" w:rsidR="00EB2F9E" w:rsidRPr="00EB2F9E" w:rsidRDefault="00EB2F9E" w:rsidP="00EB2F9E">
            <w:pPr>
              <w:spacing w:before="36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Pojazd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musi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spełniać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wymagania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dla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klasy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lekkiej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(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wg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PN-EN 1846)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oraz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:</w:t>
            </w:r>
          </w:p>
        </w:tc>
      </w:tr>
      <w:tr w:rsidR="00EB2F9E" w:rsidRPr="00EB2F9E" w14:paraId="06F29145" w14:textId="77777777" w:rsidTr="00E04FF1">
        <w:trPr>
          <w:trHeight w:val="456"/>
        </w:trPr>
        <w:tc>
          <w:tcPr>
            <w:tcW w:w="851" w:type="dxa"/>
            <w:vMerge/>
            <w:tcBorders>
              <w:top w:val="nil"/>
            </w:tcBorders>
          </w:tcPr>
          <w:p w14:paraId="173A5455" w14:textId="77777777" w:rsidR="00EB2F9E" w:rsidRPr="00EB2F9E" w:rsidRDefault="00EB2F9E" w:rsidP="00EB2F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66" w:type="dxa"/>
          </w:tcPr>
          <w:p w14:paraId="33C1F15C" w14:textId="77777777" w:rsidR="00EB2F9E" w:rsidRPr="00EB2F9E" w:rsidRDefault="00EB2F9E" w:rsidP="00EB2F9E">
            <w:pPr>
              <w:spacing w:before="7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ustawy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dnia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20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czerwca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1997 r. „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Prawo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o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ruchu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drogowym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” (Dz. U. z 2022 r.,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poz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. 988, z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późn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.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zm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.),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wraz</w:t>
            </w:r>
            <w:proofErr w:type="spellEnd"/>
          </w:p>
          <w:p w14:paraId="32551DE8" w14:textId="77777777" w:rsidR="00EB2F9E" w:rsidRPr="00EB2F9E" w:rsidRDefault="00EB2F9E" w:rsidP="00EB2F9E">
            <w:pPr>
              <w:spacing w:before="8" w:line="202" w:lineRule="exact"/>
              <w:ind w:left="142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z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przepisami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wykonawczymi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ustawy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,</w:t>
            </w:r>
          </w:p>
        </w:tc>
      </w:tr>
      <w:tr w:rsidR="00EB2F9E" w:rsidRPr="00EB2F9E" w14:paraId="794E48F2" w14:textId="77777777" w:rsidTr="00E04FF1">
        <w:trPr>
          <w:trHeight w:val="687"/>
        </w:trPr>
        <w:tc>
          <w:tcPr>
            <w:tcW w:w="851" w:type="dxa"/>
          </w:tcPr>
          <w:p w14:paraId="22BBC33C" w14:textId="77777777" w:rsidR="00EB2F9E" w:rsidRPr="00EB2F9E" w:rsidRDefault="00EB2F9E" w:rsidP="00EB2F9E">
            <w:pPr>
              <w:spacing w:before="7"/>
              <w:ind w:right="256"/>
              <w:jc w:val="right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1.2</w:t>
            </w:r>
          </w:p>
        </w:tc>
        <w:tc>
          <w:tcPr>
            <w:tcW w:w="13466" w:type="dxa"/>
          </w:tcPr>
          <w:p w14:paraId="183D8CFF" w14:textId="77777777" w:rsidR="00EB2F9E" w:rsidRPr="00EB2F9E" w:rsidRDefault="00EB2F9E" w:rsidP="00EB2F9E">
            <w:pPr>
              <w:spacing w:before="7"/>
              <w:ind w:left="99" w:hanging="1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Pojazd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musi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posiadać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świadectwo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dopuszczenia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użytkowania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w 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ochronie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przeciwpożarowej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terenie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r w:rsidRPr="00EB2F9E">
              <w:rPr>
                <w:rFonts w:eastAsia="Calibri" w:cstheme="minorHAnsi"/>
                <w:spacing w:val="13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Polski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wydane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postawie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rozporządzenia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Ministra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Spraw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Wewnętrznych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Administracji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dnia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20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czerwca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2007 r. w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sprawie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wykazu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wyrobów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służących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zapewnieniu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zasad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bezpieczeństwa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publicznego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lub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ochrony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zdrowia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życia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oraz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mienia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, a</w:t>
            </w:r>
            <w:r w:rsidRPr="00EB2F9E">
              <w:rPr>
                <w:rFonts w:eastAsia="Calibri" w:cstheme="minorHAnsi"/>
                <w:spacing w:val="-30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także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zasad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wydawania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dopuszczenia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tych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wyrobów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użytkowania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. </w:t>
            </w:r>
            <w:r w:rsidRPr="00EB2F9E">
              <w:rPr>
                <w:rFonts w:eastAsia="Calibri" w:cstheme="minorHAnsi"/>
                <w:b/>
                <w:bCs/>
                <w:w w:val="105"/>
                <w:sz w:val="18"/>
                <w:szCs w:val="18"/>
                <w:highlight w:val="yellow"/>
                <w:lang w:eastAsia="pl-PL" w:bidi="pl-PL"/>
              </w:rPr>
              <w:t xml:space="preserve">ŚWIADECTWO DOPUSZCZENIA CNBOP </w:t>
            </w:r>
            <w:proofErr w:type="spellStart"/>
            <w:r w:rsidRPr="00EB2F9E">
              <w:rPr>
                <w:rFonts w:eastAsia="Calibri" w:cstheme="minorHAnsi"/>
                <w:b/>
                <w:bCs/>
                <w:w w:val="105"/>
                <w:sz w:val="18"/>
                <w:szCs w:val="18"/>
                <w:highlight w:val="yellow"/>
                <w:lang w:eastAsia="pl-PL" w:bidi="pl-PL"/>
              </w:rPr>
              <w:t>dostarczyć</w:t>
            </w:r>
            <w:proofErr w:type="spellEnd"/>
            <w:r w:rsidRPr="00EB2F9E">
              <w:rPr>
                <w:rFonts w:eastAsia="Calibri" w:cstheme="minorHAnsi"/>
                <w:b/>
                <w:bCs/>
                <w:w w:val="105"/>
                <w:sz w:val="18"/>
                <w:szCs w:val="18"/>
                <w:highlight w:val="yellow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w w:val="105"/>
                <w:sz w:val="18"/>
                <w:szCs w:val="18"/>
                <w:highlight w:val="yellow"/>
                <w:lang w:eastAsia="pl-PL" w:bidi="pl-PL"/>
              </w:rPr>
              <w:t>wraz</w:t>
            </w:r>
            <w:proofErr w:type="spellEnd"/>
            <w:r w:rsidRPr="00EB2F9E">
              <w:rPr>
                <w:rFonts w:eastAsia="Calibri" w:cstheme="minorHAnsi"/>
                <w:b/>
                <w:bCs/>
                <w:w w:val="105"/>
                <w:sz w:val="18"/>
                <w:szCs w:val="18"/>
                <w:highlight w:val="yellow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b/>
                <w:bCs/>
                <w:w w:val="105"/>
                <w:sz w:val="18"/>
                <w:szCs w:val="18"/>
                <w:highlight w:val="yellow"/>
                <w:lang w:eastAsia="pl-PL" w:bidi="pl-PL"/>
              </w:rPr>
              <w:t>ofertą</w:t>
            </w:r>
            <w:proofErr w:type="spellEnd"/>
            <w:r w:rsidRPr="00EB2F9E">
              <w:rPr>
                <w:rFonts w:eastAsia="Calibri" w:cstheme="minorHAnsi"/>
                <w:b/>
                <w:bCs/>
                <w:w w:val="105"/>
                <w:sz w:val="18"/>
                <w:szCs w:val="18"/>
                <w:highlight w:val="yellow"/>
                <w:lang w:eastAsia="pl-PL" w:bidi="pl-PL"/>
              </w:rPr>
              <w:t>.</w:t>
            </w:r>
          </w:p>
        </w:tc>
      </w:tr>
    </w:tbl>
    <w:tbl>
      <w:tblPr>
        <w:tblStyle w:val="TableNormal1"/>
        <w:tblpPr w:leftFromText="141" w:rightFromText="141" w:vertAnchor="text" w:tblpY="1"/>
        <w:tblOverlap w:val="never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466"/>
      </w:tblGrid>
      <w:tr w:rsidR="00EB2F9E" w:rsidRPr="00EB2F9E" w14:paraId="554DEAB4" w14:textId="77777777" w:rsidTr="00E04FF1">
        <w:trPr>
          <w:trHeight w:val="205"/>
        </w:trPr>
        <w:tc>
          <w:tcPr>
            <w:tcW w:w="846" w:type="dxa"/>
            <w:tcBorders>
              <w:bottom w:val="single" w:sz="4" w:space="0" w:color="auto"/>
            </w:tcBorders>
          </w:tcPr>
          <w:p w14:paraId="4B5151BE" w14:textId="77777777" w:rsidR="00EB2F9E" w:rsidRPr="00EB2F9E" w:rsidRDefault="00EB2F9E" w:rsidP="00B53486">
            <w:pPr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1.3</w:t>
            </w:r>
          </w:p>
        </w:tc>
        <w:tc>
          <w:tcPr>
            <w:tcW w:w="13466" w:type="dxa"/>
            <w:tcBorders>
              <w:bottom w:val="single" w:sz="4" w:space="0" w:color="auto"/>
            </w:tcBorders>
          </w:tcPr>
          <w:p w14:paraId="09B9BA2C" w14:textId="77777777" w:rsidR="00EB2F9E" w:rsidRPr="00EB2F9E" w:rsidRDefault="00EB2F9E" w:rsidP="00B53486">
            <w:pPr>
              <w:spacing w:before="7"/>
              <w:ind w:left="99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Podwozie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musi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posiadać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homologację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WE</w:t>
            </w:r>
          </w:p>
        </w:tc>
      </w:tr>
      <w:tr w:rsidR="00EB2F9E" w:rsidRPr="00EB2F9E" w14:paraId="03408720" w14:textId="77777777" w:rsidTr="00E04FF1">
        <w:trPr>
          <w:trHeight w:val="476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31D382" w14:textId="77777777" w:rsidR="00EB2F9E" w:rsidRPr="00EB2F9E" w:rsidRDefault="00EB2F9E" w:rsidP="00B53486">
            <w:pPr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b/>
                <w:w w:val="104"/>
                <w:sz w:val="18"/>
                <w:szCs w:val="18"/>
                <w:lang w:eastAsia="pl-PL" w:bidi="pl-PL"/>
              </w:rPr>
              <w:t>2</w:t>
            </w:r>
          </w:p>
        </w:tc>
        <w:tc>
          <w:tcPr>
            <w:tcW w:w="13466" w:type="dxa"/>
            <w:shd w:val="clear" w:color="auto" w:fill="A6A6A6" w:themeFill="background1" w:themeFillShade="A6"/>
          </w:tcPr>
          <w:p w14:paraId="778BED14" w14:textId="77777777" w:rsidR="00EB2F9E" w:rsidRPr="00EB2F9E" w:rsidRDefault="00EB2F9E" w:rsidP="00B53486">
            <w:pPr>
              <w:spacing w:before="11" w:line="249" w:lineRule="auto"/>
              <w:ind w:left="99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b/>
                <w:w w:val="105"/>
                <w:sz w:val="18"/>
                <w:szCs w:val="18"/>
                <w:lang w:eastAsia="pl-PL" w:bidi="pl-PL"/>
              </w:rPr>
              <w:t>Podwozie</w:t>
            </w:r>
            <w:proofErr w:type="spellEnd"/>
            <w:r w:rsidRPr="00EB2F9E">
              <w:rPr>
                <w:rFonts w:eastAsia="Calibri" w:cstheme="minorHAnsi"/>
                <w:b/>
                <w:w w:val="105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b/>
                <w:w w:val="105"/>
                <w:sz w:val="18"/>
                <w:szCs w:val="18"/>
                <w:lang w:eastAsia="pl-PL" w:bidi="pl-PL"/>
              </w:rPr>
              <w:t>kabiną</w:t>
            </w:r>
            <w:proofErr w:type="spellEnd"/>
            <w:r w:rsidRPr="00EB2F9E">
              <w:rPr>
                <w:rFonts w:eastAsia="Calibri" w:cstheme="minorHAnsi"/>
                <w:b/>
                <w:w w:val="105"/>
                <w:sz w:val="18"/>
                <w:szCs w:val="18"/>
                <w:lang w:eastAsia="pl-PL" w:bidi="pl-PL"/>
              </w:rPr>
              <w:t>:</w:t>
            </w:r>
          </w:p>
        </w:tc>
      </w:tr>
      <w:tr w:rsidR="00EB2F9E" w:rsidRPr="00EB2F9E" w14:paraId="1D5B857F" w14:textId="77777777" w:rsidTr="00E04FF1">
        <w:trPr>
          <w:trHeight w:val="50"/>
        </w:trPr>
        <w:tc>
          <w:tcPr>
            <w:tcW w:w="846" w:type="dxa"/>
            <w:tcBorders>
              <w:bottom w:val="single" w:sz="4" w:space="0" w:color="000000"/>
              <w:right w:val="single" w:sz="4" w:space="0" w:color="auto"/>
            </w:tcBorders>
          </w:tcPr>
          <w:p w14:paraId="5D8C818F" w14:textId="77777777" w:rsidR="00EB2F9E" w:rsidRPr="00EB2F9E" w:rsidRDefault="00EB2F9E" w:rsidP="00B53486">
            <w:pPr>
              <w:spacing w:before="6"/>
              <w:ind w:right="256"/>
              <w:jc w:val="right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2.1</w:t>
            </w:r>
          </w:p>
        </w:tc>
        <w:tc>
          <w:tcPr>
            <w:tcW w:w="13466" w:type="dxa"/>
            <w:tcBorders>
              <w:left w:val="single" w:sz="4" w:space="0" w:color="auto"/>
              <w:bottom w:val="single" w:sz="4" w:space="0" w:color="000000"/>
            </w:tcBorders>
          </w:tcPr>
          <w:p w14:paraId="725327DC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Pojazd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fabrycznie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nowy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dopuszczalną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masą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maksymalną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do 3500 kg</w:t>
            </w:r>
          </w:p>
          <w:p w14:paraId="7B2D1CC1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Podwozie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kabiną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silnik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tego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samego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producenta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.</w:t>
            </w:r>
          </w:p>
          <w:p w14:paraId="0CB4FF71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bCs/>
                <w:w w:val="105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 xml:space="preserve">Producent </w:t>
            </w:r>
            <w:proofErr w:type="spellStart"/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>zabudowy</w:t>
            </w:r>
            <w:proofErr w:type="spellEnd"/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>musi</w:t>
            </w:r>
            <w:proofErr w:type="spellEnd"/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>posiadać</w:t>
            </w:r>
            <w:proofErr w:type="spellEnd"/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>autoryzację</w:t>
            </w:r>
            <w:proofErr w:type="spellEnd"/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>producenta</w:t>
            </w:r>
            <w:proofErr w:type="spellEnd"/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>podwozia</w:t>
            </w:r>
            <w:proofErr w:type="spellEnd"/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>bazowego</w:t>
            </w:r>
            <w:proofErr w:type="spellEnd"/>
            <w:r w:rsidRPr="00EB2F9E">
              <w:rPr>
                <w:rFonts w:eastAsia="Calibri" w:cstheme="minorHAnsi"/>
                <w:bCs/>
                <w:sz w:val="18"/>
                <w:szCs w:val="18"/>
                <w:lang w:eastAsia="pl-PL" w:bidi="pl-PL"/>
              </w:rPr>
              <w:t>.</w:t>
            </w:r>
          </w:p>
          <w:p w14:paraId="16B8581D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Rok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produkcji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podwozia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zabudowy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starszy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niż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2022 </w:t>
            </w:r>
          </w:p>
          <w:p w14:paraId="3918FDA5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Silnik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wysokoprężny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z turbo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doładowaniem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o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zapłonie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samoczynnym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spełniający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wymagania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odnośnie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emisji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zanieczyszczeń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aktualne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dzień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przekazania</w:t>
            </w:r>
            <w:proofErr w:type="spellEnd"/>
          </w:p>
          <w:p w14:paraId="0EC763C2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Wymiary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gabarytowe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kompletnego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:</w:t>
            </w:r>
          </w:p>
          <w:p w14:paraId="124AC187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Długość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całkowita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maksymalnie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6700 mm</w:t>
            </w:r>
          </w:p>
          <w:p w14:paraId="58EF066C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Szerokość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większa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niż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2500 z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lusterkami</w:t>
            </w:r>
            <w:proofErr w:type="spellEnd"/>
          </w:p>
          <w:p w14:paraId="64D647C8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Wysokość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większa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niż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: 2700 mm</w:t>
            </w:r>
          </w:p>
          <w:p w14:paraId="0B8CA8BD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Rozstaw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osi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przedziale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3600mm – 4035 mm</w:t>
            </w:r>
          </w:p>
          <w:p w14:paraId="2E320F69" w14:textId="77777777" w:rsidR="00EB2F9E" w:rsidRPr="00EB2F9E" w:rsidRDefault="00EB2F9E" w:rsidP="00B53486">
            <w:pPr>
              <w:spacing w:line="201" w:lineRule="exact"/>
              <w:ind w:left="99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</w:p>
        </w:tc>
      </w:tr>
      <w:tr w:rsidR="00EB2F9E" w:rsidRPr="00EB2F9E" w14:paraId="322B3AA5" w14:textId="77777777" w:rsidTr="00E04FF1">
        <w:trPr>
          <w:trHeight w:val="274"/>
        </w:trPr>
        <w:tc>
          <w:tcPr>
            <w:tcW w:w="846" w:type="dxa"/>
            <w:tcBorders>
              <w:bottom w:val="single" w:sz="4" w:space="0" w:color="000000"/>
              <w:right w:val="single" w:sz="4" w:space="0" w:color="auto"/>
            </w:tcBorders>
          </w:tcPr>
          <w:p w14:paraId="5B1D2DBB" w14:textId="77777777" w:rsidR="00EB2F9E" w:rsidRPr="00EB2F9E" w:rsidRDefault="00EB2F9E" w:rsidP="00B53486">
            <w:pPr>
              <w:spacing w:before="6"/>
              <w:ind w:right="256"/>
              <w:jc w:val="right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2.2</w:t>
            </w:r>
          </w:p>
        </w:tc>
        <w:tc>
          <w:tcPr>
            <w:tcW w:w="13466" w:type="dxa"/>
            <w:tcBorders>
              <w:left w:val="single" w:sz="4" w:space="0" w:color="auto"/>
              <w:bottom w:val="single" w:sz="4" w:space="0" w:color="000000"/>
            </w:tcBorders>
          </w:tcPr>
          <w:p w14:paraId="09703B8C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Podwozie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bazowe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–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układ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napędowy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:</w:t>
            </w:r>
          </w:p>
          <w:p w14:paraId="31A930D1" w14:textId="77777777" w:rsidR="00EB2F9E" w:rsidRPr="00EB2F9E" w:rsidRDefault="00EB2F9E" w:rsidP="00B53486">
            <w:pPr>
              <w:spacing w:line="201" w:lineRule="exact"/>
              <w:ind w:left="99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Pojemność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silnika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min. 1950cm³</w:t>
            </w:r>
          </w:p>
          <w:p w14:paraId="42C29C4A" w14:textId="77777777" w:rsidR="00EB2F9E" w:rsidRPr="00EB2F9E" w:rsidRDefault="00EB2F9E" w:rsidP="00B53486">
            <w:pPr>
              <w:ind w:left="64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EB2F9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B2F9E">
              <w:rPr>
                <w:rFonts w:eastAsia="Times New Roman" w:cstheme="minorHAnsi"/>
                <w:sz w:val="18"/>
                <w:szCs w:val="18"/>
              </w:rPr>
              <w:t>Moc</w:t>
            </w:r>
            <w:proofErr w:type="spellEnd"/>
            <w:r w:rsidRPr="00EB2F9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B2F9E">
              <w:rPr>
                <w:rFonts w:eastAsia="Times New Roman" w:cstheme="minorHAnsi"/>
                <w:sz w:val="18"/>
                <w:szCs w:val="18"/>
              </w:rPr>
              <w:t>silnika</w:t>
            </w:r>
            <w:proofErr w:type="spellEnd"/>
            <w:r w:rsidRPr="00EB2F9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B2F9E">
              <w:rPr>
                <w:rFonts w:eastAsia="Times New Roman" w:cstheme="minorHAnsi"/>
                <w:sz w:val="18"/>
                <w:szCs w:val="18"/>
              </w:rPr>
              <w:t>pojazdu</w:t>
            </w:r>
            <w:proofErr w:type="spellEnd"/>
            <w:r w:rsidRPr="00EB2F9E">
              <w:rPr>
                <w:rFonts w:eastAsia="Times New Roman" w:cstheme="minorHAnsi"/>
                <w:sz w:val="18"/>
                <w:szCs w:val="18"/>
              </w:rPr>
              <w:t xml:space="preserve"> min. 150 KM</w:t>
            </w:r>
            <w:r w:rsidRPr="00EB2F9E">
              <w:rPr>
                <w:rFonts w:eastAsia="Times New Roman" w:cstheme="minorHAnsi"/>
                <w:w w:val="105"/>
                <w:sz w:val="18"/>
                <w:szCs w:val="18"/>
                <w:lang w:eastAsia="pl-PL"/>
              </w:rPr>
              <w:t>.</w:t>
            </w:r>
          </w:p>
          <w:p w14:paraId="3EF29EF8" w14:textId="77777777" w:rsidR="00EB2F9E" w:rsidRPr="00EB2F9E" w:rsidRDefault="00EB2F9E" w:rsidP="00B53486">
            <w:pPr>
              <w:spacing w:line="201" w:lineRule="exact"/>
              <w:ind w:left="99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Maksymalny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moment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obrotowy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min: 370 Nm </w:t>
            </w:r>
          </w:p>
          <w:p w14:paraId="7CC972FF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Silnik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o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zapłonie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samoczynnym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, z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turbodoładowaniem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spełniający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wymagane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normy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emisji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spalin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– Euro 6,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umożliwiające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zarejestrowanie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dniu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odbioru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,</w:t>
            </w:r>
          </w:p>
          <w:p w14:paraId="574D97D9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Pojemność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zbiornika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paliwa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min. 75 l</w:t>
            </w:r>
          </w:p>
          <w:p w14:paraId="56C7395F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Napęd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przekazywany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tylny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most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napędowy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kołami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bliźniaczymi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mechanizm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różnicowy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fabryczną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mechaniczna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blokadą</w:t>
            </w:r>
            <w:proofErr w:type="spellEnd"/>
          </w:p>
          <w:p w14:paraId="33F0CDAD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Zawieszenie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tylne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wzmocnione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fabrycznie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stabilizowane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</w:p>
          <w:p w14:paraId="380F295C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pacing w:val="4"/>
                <w:sz w:val="18"/>
                <w:szCs w:val="18"/>
                <w:lang w:eastAsia="pl-PL" w:bidi="pl-PL"/>
              </w:rPr>
              <w:t>Rodzaj</w:t>
            </w:r>
            <w:proofErr w:type="spellEnd"/>
            <w:r w:rsidRPr="00EB2F9E">
              <w:rPr>
                <w:rFonts w:eastAsia="Calibri" w:cstheme="minorHAnsi"/>
                <w:spacing w:val="4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pacing w:val="4"/>
                <w:sz w:val="18"/>
                <w:szCs w:val="18"/>
                <w:lang w:eastAsia="pl-PL" w:bidi="pl-PL"/>
              </w:rPr>
              <w:t>paliwa</w:t>
            </w:r>
            <w:proofErr w:type="spellEnd"/>
            <w:r w:rsidRPr="00EB2F9E">
              <w:rPr>
                <w:rFonts w:eastAsia="Calibri" w:cstheme="minorHAnsi"/>
                <w:spacing w:val="4"/>
                <w:sz w:val="18"/>
                <w:szCs w:val="18"/>
                <w:lang w:eastAsia="pl-PL" w:bidi="pl-PL"/>
              </w:rPr>
              <w:t xml:space="preserve">: </w:t>
            </w:r>
            <w:proofErr w:type="spellStart"/>
            <w:r w:rsidRPr="00EB2F9E">
              <w:rPr>
                <w:rFonts w:eastAsia="Calibri" w:cstheme="minorHAnsi"/>
                <w:spacing w:val="4"/>
                <w:sz w:val="18"/>
                <w:szCs w:val="18"/>
                <w:lang w:eastAsia="pl-PL" w:bidi="pl-PL"/>
              </w:rPr>
              <w:t>olej</w:t>
            </w:r>
            <w:proofErr w:type="spellEnd"/>
            <w:r w:rsidRPr="00EB2F9E">
              <w:rPr>
                <w:rFonts w:eastAsia="Calibri" w:cstheme="minorHAnsi"/>
                <w:spacing w:val="4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pacing w:val="4"/>
                <w:sz w:val="18"/>
                <w:szCs w:val="18"/>
                <w:lang w:eastAsia="pl-PL" w:bidi="pl-PL"/>
              </w:rPr>
              <w:t>napędowy</w:t>
            </w:r>
            <w:proofErr w:type="spellEnd"/>
          </w:p>
        </w:tc>
      </w:tr>
      <w:tr w:rsidR="00EB2F9E" w:rsidRPr="00EB2F9E" w14:paraId="3E00F783" w14:textId="77777777" w:rsidTr="00E04FF1">
        <w:trPr>
          <w:trHeight w:val="227"/>
        </w:trPr>
        <w:tc>
          <w:tcPr>
            <w:tcW w:w="846" w:type="dxa"/>
          </w:tcPr>
          <w:p w14:paraId="3F759D9D" w14:textId="77777777" w:rsidR="00EB2F9E" w:rsidRPr="00EB2F9E" w:rsidRDefault="00EB2F9E" w:rsidP="00B53486">
            <w:pPr>
              <w:spacing w:before="6" w:line="202" w:lineRule="exact"/>
              <w:ind w:right="331"/>
              <w:jc w:val="right"/>
              <w:rPr>
                <w:rFonts w:eastAsia="Calibri" w:cstheme="minorHAnsi"/>
                <w:b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2.3</w:t>
            </w:r>
          </w:p>
        </w:tc>
        <w:tc>
          <w:tcPr>
            <w:tcW w:w="13466" w:type="dxa"/>
            <w:tcBorders>
              <w:top w:val="single" w:sz="4" w:space="0" w:color="auto"/>
            </w:tcBorders>
          </w:tcPr>
          <w:p w14:paraId="1E2C696D" w14:textId="77777777" w:rsidR="00EB2F9E" w:rsidRPr="00EB2F9E" w:rsidRDefault="00EB2F9E" w:rsidP="00B53486">
            <w:pPr>
              <w:tabs>
                <w:tab w:val="left" w:pos="777"/>
              </w:tabs>
              <w:spacing w:before="8" w:line="252" w:lineRule="auto"/>
              <w:ind w:right="92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 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Urządzenia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sygnalizacyjno-ostrzegawcze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świetlne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dźwiękowe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uprzywilejowanego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:</w:t>
            </w:r>
          </w:p>
          <w:p w14:paraId="28D548D3" w14:textId="77777777" w:rsidR="00EB2F9E" w:rsidRPr="00EB2F9E" w:rsidRDefault="00EB2F9E" w:rsidP="00B53486">
            <w:pPr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belka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sygnalizacyjno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-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ostrzegawcza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niebieska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wykonana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technologii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LED,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zamontowana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dachu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kabiny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pacing w:val="-3"/>
                <w:w w:val="105"/>
                <w:sz w:val="18"/>
                <w:szCs w:val="18"/>
                <w:lang w:eastAsia="pl-PL" w:bidi="pl-PL"/>
              </w:rPr>
              <w:t>kierowcy</w:t>
            </w:r>
            <w:proofErr w:type="spellEnd"/>
            <w:r w:rsidRPr="00EB2F9E">
              <w:rPr>
                <w:rFonts w:eastAsia="Calibri" w:cstheme="minorHAnsi"/>
                <w:spacing w:val="-3"/>
                <w:w w:val="105"/>
                <w:sz w:val="18"/>
                <w:szCs w:val="18"/>
                <w:lang w:eastAsia="pl-PL" w:bidi="pl-PL"/>
              </w:rPr>
              <w:t>,</w:t>
            </w:r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podświetlany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napis</w:t>
            </w:r>
            <w:proofErr w:type="spellEnd"/>
            <w:r w:rsidRPr="00EB2F9E">
              <w:rPr>
                <w:rFonts w:eastAsia="Calibri" w:cstheme="minorHAnsi"/>
                <w:spacing w:val="-3"/>
                <w:w w:val="105"/>
                <w:sz w:val="18"/>
                <w:szCs w:val="18"/>
                <w:lang w:eastAsia="pl-PL" w:bidi="pl-PL"/>
              </w:rPr>
              <w:t xml:space="preserve"> </w:t>
            </w:r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"STRAŻ",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dodatkowe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czerwone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światło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LED – Pilot, </w:t>
            </w:r>
          </w:p>
          <w:p w14:paraId="19579268" w14:textId="77777777" w:rsidR="00EB2F9E" w:rsidRPr="00EB2F9E" w:rsidRDefault="00EB2F9E" w:rsidP="00B53486">
            <w:pPr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dwie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dodatkowe</w:t>
            </w:r>
            <w:proofErr w:type="spellEnd"/>
            <w:r w:rsidRPr="00EB2F9E">
              <w:rPr>
                <w:rFonts w:eastAsia="Calibri" w:cstheme="minorHAnsi"/>
                <w:spacing w:val="-7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lampy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sygnalizacyjno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-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ostrzegawcze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niebieskie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wykonane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technologii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LED,</w:t>
            </w:r>
            <w:r w:rsidRPr="00EB2F9E">
              <w:rPr>
                <w:rFonts w:eastAsia="Calibri" w:cstheme="minorHAnsi"/>
                <w:spacing w:val="-9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zamontowane</w:t>
            </w:r>
            <w:proofErr w:type="spellEnd"/>
            <w:r w:rsidRPr="00EB2F9E">
              <w:rPr>
                <w:rFonts w:eastAsia="Calibri" w:cstheme="minorHAnsi"/>
                <w:spacing w:val="-7"/>
                <w:w w:val="105"/>
                <w:sz w:val="18"/>
                <w:szCs w:val="18"/>
                <w:lang w:eastAsia="pl-PL" w:bidi="pl-PL"/>
              </w:rPr>
              <w:t xml:space="preserve"> </w:t>
            </w:r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</w:t>
            </w:r>
            <w:r w:rsidRPr="00EB2F9E">
              <w:rPr>
                <w:rFonts w:eastAsia="Calibri" w:cstheme="minorHAnsi"/>
                <w:spacing w:val="-6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przodu</w:t>
            </w:r>
            <w:proofErr w:type="spellEnd"/>
            <w:r w:rsidRPr="00EB2F9E">
              <w:rPr>
                <w:rFonts w:eastAsia="Calibri" w:cstheme="minorHAnsi"/>
                <w:spacing w:val="-5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powyżej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linii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przedniego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zderzaka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(6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diod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LED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każda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)</w:t>
            </w:r>
          </w:p>
          <w:p w14:paraId="4F986BC2" w14:textId="77777777" w:rsidR="00EB2F9E" w:rsidRPr="00EB2F9E" w:rsidRDefault="00EB2F9E" w:rsidP="00B53486">
            <w:pPr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lastRenderedPageBreak/>
              <w:t xml:space="preserve">w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tylnej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części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zabudowy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dwie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lampy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sygnalizacyjno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-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ostrzegawcze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niebieskie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wykonane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technologii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LED (6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diod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LED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każda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),</w:t>
            </w:r>
            <w:r w:rsidRPr="00EB2F9E">
              <w:rPr>
                <w:rFonts w:eastAsia="Calibri" w:cstheme="minorHAnsi"/>
                <w:spacing w:val="-9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zamontowane</w:t>
            </w:r>
            <w:proofErr w:type="spellEnd"/>
            <w:r w:rsidRPr="00EB2F9E">
              <w:rPr>
                <w:rFonts w:eastAsia="Calibri" w:cstheme="minorHAnsi"/>
                <w:spacing w:val="-7"/>
                <w:w w:val="105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pacing w:val="-7"/>
                <w:w w:val="105"/>
                <w:sz w:val="18"/>
                <w:szCs w:val="18"/>
                <w:lang w:eastAsia="pl-PL" w:bidi="pl-PL"/>
              </w:rPr>
              <w:t>narożnikach</w:t>
            </w:r>
            <w:proofErr w:type="spellEnd"/>
            <w:r w:rsidRPr="00EB2F9E">
              <w:rPr>
                <w:rFonts w:eastAsia="Calibri" w:cstheme="minorHAnsi"/>
                <w:spacing w:val="-7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pacing w:val="-7"/>
                <w:w w:val="105"/>
                <w:sz w:val="18"/>
                <w:szCs w:val="18"/>
                <w:lang w:eastAsia="pl-PL" w:bidi="pl-PL"/>
              </w:rPr>
              <w:t>zabudowy</w:t>
            </w:r>
            <w:proofErr w:type="spellEnd"/>
          </w:p>
          <w:p w14:paraId="256AD25C" w14:textId="77777777" w:rsidR="00EB2F9E" w:rsidRPr="00EB2F9E" w:rsidRDefault="00EB2F9E" w:rsidP="00B53486">
            <w:pPr>
              <w:numPr>
                <w:ilvl w:val="0"/>
                <w:numId w:val="1"/>
              </w:numPr>
              <w:tabs>
                <w:tab w:val="left" w:pos="777"/>
              </w:tabs>
              <w:spacing w:before="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generator z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pilotem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sterującym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wykonanym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ergonomicznie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przyciskami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sterowania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poszczególnymi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funkcjami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sygnalizacji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oraz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oświetlenia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pola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roboczego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dachu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. Generator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musi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zapewnić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możliwość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sterowania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sygnalizacją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dźwiękową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–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zmianę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tonów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poprzez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sygnał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akustyczny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– „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klakson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”. Generator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wyposażony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funkcję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„radio” z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możliwością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przesyłania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dźwięków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fabrycznego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radioodbiornika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głośników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rozgłoszeniowych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opisanych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ppkt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. 5</w:t>
            </w:r>
          </w:p>
          <w:p w14:paraId="0E14E7F2" w14:textId="77777777" w:rsidR="00EB2F9E" w:rsidRPr="00EB2F9E" w:rsidRDefault="00EB2F9E" w:rsidP="00B53486">
            <w:pPr>
              <w:numPr>
                <w:ilvl w:val="0"/>
                <w:numId w:val="1"/>
              </w:numPr>
              <w:tabs>
                <w:tab w:val="left" w:pos="777"/>
              </w:tabs>
              <w:spacing w:before="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głośnik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akustyczny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rozgłoszeniowy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zamontowane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pod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przednim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zderzakiem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min 100W</w:t>
            </w:r>
          </w:p>
          <w:p w14:paraId="5312DE31" w14:textId="77777777" w:rsidR="00EB2F9E" w:rsidRPr="00EB2F9E" w:rsidRDefault="00EB2F9E" w:rsidP="00B53486">
            <w:pPr>
              <w:tabs>
                <w:tab w:val="left" w:pos="777"/>
              </w:tabs>
              <w:spacing w:before="9"/>
              <w:ind w:left="776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</w:tr>
      <w:tr w:rsidR="00EB2F9E" w:rsidRPr="00EB2F9E" w14:paraId="02065B84" w14:textId="77777777" w:rsidTr="00E04FF1">
        <w:trPr>
          <w:trHeight w:val="348"/>
        </w:trPr>
        <w:tc>
          <w:tcPr>
            <w:tcW w:w="846" w:type="dxa"/>
          </w:tcPr>
          <w:p w14:paraId="46243C33" w14:textId="77777777" w:rsidR="00EB2F9E" w:rsidRPr="00EB2F9E" w:rsidRDefault="00EB2F9E" w:rsidP="00B53486">
            <w:pPr>
              <w:spacing w:before="6"/>
              <w:ind w:right="256"/>
              <w:jc w:val="right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lastRenderedPageBreak/>
              <w:t>2.4</w:t>
            </w:r>
          </w:p>
        </w:tc>
        <w:tc>
          <w:tcPr>
            <w:tcW w:w="13466" w:type="dxa"/>
            <w:tcBorders>
              <w:bottom w:val="single" w:sz="4" w:space="0" w:color="auto"/>
            </w:tcBorders>
          </w:tcPr>
          <w:p w14:paraId="772641AC" w14:textId="77777777" w:rsidR="00EB2F9E" w:rsidRPr="00EB2F9E" w:rsidRDefault="00EB2F9E" w:rsidP="00B53486">
            <w:pPr>
              <w:spacing w:before="6" w:line="252" w:lineRule="auto"/>
              <w:ind w:left="99" w:hanging="1"/>
              <w:jc w:val="both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Opony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uniwersalne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pogrubioną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rzeźbą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bieżnika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oznaczeniem</w:t>
            </w:r>
            <w:proofErr w:type="spellEnd"/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 xml:space="preserve"> M+S</w:t>
            </w:r>
          </w:p>
        </w:tc>
      </w:tr>
      <w:tr w:rsidR="00EB2F9E" w:rsidRPr="00EB2F9E" w14:paraId="41887A48" w14:textId="77777777" w:rsidTr="00E04FF1">
        <w:trPr>
          <w:trHeight w:val="285"/>
        </w:trPr>
        <w:tc>
          <w:tcPr>
            <w:tcW w:w="846" w:type="dxa"/>
            <w:tcBorders>
              <w:top w:val="single" w:sz="4" w:space="0" w:color="auto"/>
            </w:tcBorders>
          </w:tcPr>
          <w:p w14:paraId="48F187A8" w14:textId="77777777" w:rsidR="00EB2F9E" w:rsidRPr="00EB2F9E" w:rsidRDefault="00EB2F9E" w:rsidP="00B53486">
            <w:pPr>
              <w:spacing w:before="6"/>
              <w:ind w:right="256"/>
              <w:jc w:val="right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t>2.5</w:t>
            </w:r>
          </w:p>
        </w:tc>
        <w:tc>
          <w:tcPr>
            <w:tcW w:w="13466" w:type="dxa"/>
            <w:tcBorders>
              <w:top w:val="single" w:sz="4" w:space="0" w:color="auto"/>
              <w:bottom w:val="single" w:sz="4" w:space="0" w:color="auto"/>
            </w:tcBorders>
          </w:tcPr>
          <w:p w14:paraId="74EE146B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Kabina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czterodrzwiowa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jednomodułowa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zapewniająca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dostęp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silnika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bez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konieczności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jej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podnoszenia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  <w:p w14:paraId="6C923C49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Przystosowana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przewozu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6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osób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układzie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foteli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1+1+4. </w:t>
            </w:r>
          </w:p>
          <w:p w14:paraId="411FC09E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Fotel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pasażera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fabrycznie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podwójny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jedną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częścią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oparcia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złożoną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.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Oparcie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wykorzystane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jako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stolik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dla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dowódcy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fabryczną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ruchomą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pułkom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oraz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uchwytami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napoje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  <w:p w14:paraId="7A2D503A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Fotele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fabrycznie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pokryte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materiałem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łatwo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zmywalnym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nienasiąkliwym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łatwym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utrzymania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czystości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. </w:t>
            </w:r>
          </w:p>
          <w:p w14:paraId="376BB150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Wszystkie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fotele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wyposażone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pasy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bezpieczeństwa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oraz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zagłówki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  <w:p w14:paraId="397E27CC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Podłoga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kabiny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wyłożona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fabrycznie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materiałem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łatwo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zmywalnym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antypoślizgowym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  <w:p w14:paraId="37C99FDE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Kabina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wyposażona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dodatkowo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w:</w:t>
            </w:r>
          </w:p>
          <w:p w14:paraId="4D06CA8F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elektrycznie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regulowane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szyby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I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rzędzie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pasażerskim</w:t>
            </w:r>
            <w:proofErr w:type="spellEnd"/>
          </w:p>
          <w:p w14:paraId="1895B1A9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fabryczne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szyby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przesuwne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II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rzędzie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pasażerskim</w:t>
            </w:r>
            <w:proofErr w:type="spellEnd"/>
          </w:p>
          <w:p w14:paraId="41CD4E7A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elektrycznie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regulowane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ogrzewane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lusterka</w:t>
            </w:r>
            <w:proofErr w:type="spellEnd"/>
          </w:p>
          <w:p w14:paraId="7C486CFE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klimatyzacja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ogrzewanie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przedziału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kabiny</w:t>
            </w:r>
            <w:proofErr w:type="spellEnd"/>
          </w:p>
          <w:p w14:paraId="018A41D7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półkę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podsufitową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dokumenty</w:t>
            </w:r>
            <w:proofErr w:type="spellEnd"/>
          </w:p>
          <w:p w14:paraId="300C886F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fabryczny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stolik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wysuwny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dla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dowódcy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</w:p>
          <w:p w14:paraId="6BDACE0F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indywidualne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punktowe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oświetlenie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LED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dla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dowódcy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min. 25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lm</w:t>
            </w:r>
            <w:proofErr w:type="spellEnd"/>
          </w:p>
          <w:p w14:paraId="44200295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dodatkowe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gniazdo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zapalniczki</w:t>
            </w:r>
            <w:proofErr w:type="spellEnd"/>
          </w:p>
          <w:p w14:paraId="1B0FEA5E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podest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zamontowany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pomiędzy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fotelami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I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rzędzie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wyposażony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instalację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zasilającą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</w:p>
          <w:p w14:paraId="4C9EE2A0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br/>
              <w:t xml:space="preserve">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kabinie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zamontowany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radiotelefon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przewoźny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spełniający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minimalne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wymagania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techniczno-funkcjonalne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określone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załączniku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nr 3 do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instrukcji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stanowiącej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załącznik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rozkazu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nr 8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Komendanta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Głównego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PSP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5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kwietnia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2019r.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sprawie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wprowadzenia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nowych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zasad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organizacji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łączności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.  </w:t>
            </w:r>
          </w:p>
          <w:p w14:paraId="06690319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Samochód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wyposażony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instalację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antenową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–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przy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przekazaniu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wykonawca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zobowiązany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jest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przekazać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wydruk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urządzenia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pomiaru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SWR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instalacji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antenowej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zamontowanej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pojeździe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.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>Parametr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 xml:space="preserve"> SWR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>musi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>wynosić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>poniżej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 xml:space="preserve"> 1.3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>dla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>kompletnej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>zamontowanej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>instalacji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>przy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>zakresie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>częstotliwości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>której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>korzysta</w:t>
            </w:r>
            <w:proofErr w:type="spellEnd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u w:val="single"/>
                <w:lang w:eastAsia="pl-PL" w:bidi="pl-PL"/>
              </w:rPr>
              <w:t>Zamawiający</w:t>
            </w:r>
            <w:proofErr w:type="spellEnd"/>
          </w:p>
          <w:p w14:paraId="05A889F0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</w:pPr>
          </w:p>
          <w:p w14:paraId="2DC063FA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Radio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fabryczne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MP3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wyposażone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fabryczne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nagłośnienie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oraz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antenę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–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sterowanie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radiem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użyciu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pilota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zasięgu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kierowcy</w:t>
            </w:r>
            <w:proofErr w:type="spellEnd"/>
          </w:p>
          <w:p w14:paraId="48C8329B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Światła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jazdy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dziennej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fabryczne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LED</w:t>
            </w:r>
          </w:p>
          <w:p w14:paraId="434A3468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Światła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przeciwmgielne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fabryczne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przednie</w:t>
            </w:r>
            <w:proofErr w:type="spellEnd"/>
          </w:p>
          <w:p w14:paraId="10C95A4B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widocznym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dla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kierowcy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miejscu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sygnalizacja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optyczna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:</w:t>
            </w:r>
          </w:p>
          <w:p w14:paraId="1799A0ED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stanu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otwartych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skrytek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,</w:t>
            </w:r>
          </w:p>
          <w:p w14:paraId="7BBF67FB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podłączonego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zewnętrznego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źródła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ładowania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,</w:t>
            </w:r>
          </w:p>
          <w:p w14:paraId="7904F7C0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wysuniętego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masztu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oświetleniowego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  <w:p w14:paraId="4EA16C6C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Kabina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wyposażona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dedykowane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gumowe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dywaniki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</w:tc>
      </w:tr>
      <w:tr w:rsidR="00EB2F9E" w:rsidRPr="00EB2F9E" w14:paraId="773EB544" w14:textId="77777777" w:rsidTr="00E04FF1">
        <w:trPr>
          <w:trHeight w:val="30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BC7F2B3" w14:textId="77777777" w:rsidR="00EB2F9E" w:rsidRPr="00EB2F9E" w:rsidRDefault="00EB2F9E" w:rsidP="00B53486">
            <w:pPr>
              <w:spacing w:before="8"/>
              <w:ind w:right="256"/>
              <w:jc w:val="right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  <w:lastRenderedPageBreak/>
              <w:t>2.6</w:t>
            </w:r>
          </w:p>
        </w:tc>
        <w:tc>
          <w:tcPr>
            <w:tcW w:w="13466" w:type="dxa"/>
            <w:tcBorders>
              <w:top w:val="single" w:sz="4" w:space="0" w:color="auto"/>
              <w:bottom w:val="single" w:sz="4" w:space="0" w:color="auto"/>
            </w:tcBorders>
          </w:tcPr>
          <w:p w14:paraId="30B68F00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Kolorystyka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oznakowanie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:</w:t>
            </w:r>
          </w:p>
          <w:p w14:paraId="6698C1E6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kabina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kolorze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czerwieni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sygnałowej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zbliżona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do RAL 3000</w:t>
            </w:r>
          </w:p>
          <w:p w14:paraId="0D5378AA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poszycia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nadwozia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sprzętowego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lakierowane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zgodnie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fabrycznym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kolorem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podwozia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kabiny</w:t>
            </w:r>
            <w:proofErr w:type="spellEnd"/>
          </w:p>
          <w:p w14:paraId="5648B8A5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zderzaki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błotniki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kolorze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białym</w:t>
            </w:r>
            <w:proofErr w:type="spellEnd"/>
          </w:p>
          <w:p w14:paraId="3EE07632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drzwiach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przednich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herb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oraz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nazwa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jednostki</w:t>
            </w:r>
            <w:proofErr w:type="spellEnd"/>
          </w:p>
          <w:p w14:paraId="4423375A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nr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operacyjne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zgodnie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wytycznymi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tym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zakresie</w:t>
            </w:r>
            <w:proofErr w:type="spellEnd"/>
          </w:p>
          <w:p w14:paraId="160F53B6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pas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wyróżniający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(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odblaskowy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lub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fluorescencyjny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) po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bokach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wzdłuż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całego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pojazdu</w:t>
            </w:r>
            <w:proofErr w:type="spellEnd"/>
          </w:p>
        </w:tc>
      </w:tr>
      <w:tr w:rsidR="00EB2F9E" w:rsidRPr="00EB2F9E" w14:paraId="3ADAECA4" w14:textId="77777777" w:rsidTr="00E04FF1">
        <w:trPr>
          <w:trHeight w:val="28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BBCF128" w14:textId="77777777" w:rsidR="00EB2F9E" w:rsidRPr="00EB2F9E" w:rsidRDefault="00EB2F9E" w:rsidP="00B53486">
            <w:pPr>
              <w:spacing w:before="6"/>
              <w:ind w:right="256"/>
              <w:jc w:val="right"/>
              <w:rPr>
                <w:rFonts w:eastAsia="Calibri" w:cstheme="minorHAnsi"/>
                <w:w w:val="105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  <w:t>2.7</w:t>
            </w:r>
          </w:p>
        </w:tc>
        <w:tc>
          <w:tcPr>
            <w:tcW w:w="13466" w:type="dxa"/>
            <w:tcBorders>
              <w:top w:val="single" w:sz="4" w:space="0" w:color="auto"/>
              <w:bottom w:val="single" w:sz="4" w:space="0" w:color="auto"/>
            </w:tcBorders>
          </w:tcPr>
          <w:p w14:paraId="5A7C6452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Instalacja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elektryczna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zabudowy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:</w:t>
            </w:r>
          </w:p>
          <w:p w14:paraId="712180FE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Wzmocniony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fabryczny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akumulator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. </w:t>
            </w:r>
          </w:p>
          <w:p w14:paraId="2D5E7CFF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Alternator 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mocy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min. 160A.</w:t>
            </w:r>
          </w:p>
          <w:p w14:paraId="1CEE0BB2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Dodatkowa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instalacja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elektryczna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wyposażona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główny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wyłącznik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zasilania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bez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odłączania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urządzeń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fabrycznych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wymagających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stałego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zasilania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. </w:t>
            </w:r>
          </w:p>
          <w:p w14:paraId="734362F5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Automatyczna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ładowarka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sieciowa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min. 7A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przewodem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zakończonym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wtykom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kompatybilną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gniazdem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umieszczonym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zewnątrz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po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jego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lewej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stronie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. </w:t>
            </w:r>
          </w:p>
        </w:tc>
      </w:tr>
      <w:tr w:rsidR="00EB2F9E" w:rsidRPr="00EB2F9E" w14:paraId="093CA202" w14:textId="77777777" w:rsidTr="00E04FF1">
        <w:trPr>
          <w:trHeight w:val="131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BB51196" w14:textId="77777777" w:rsidR="00EB2F9E" w:rsidRPr="00EB2F9E" w:rsidRDefault="00EB2F9E" w:rsidP="00B53486">
            <w:pPr>
              <w:ind w:left="244" w:right="240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  <w:t>2.7</w:t>
            </w:r>
          </w:p>
        </w:tc>
        <w:tc>
          <w:tcPr>
            <w:tcW w:w="13466" w:type="dxa"/>
            <w:tcBorders>
              <w:top w:val="single" w:sz="4" w:space="0" w:color="auto"/>
              <w:bottom w:val="single" w:sz="4" w:space="0" w:color="auto"/>
            </w:tcBorders>
          </w:tcPr>
          <w:p w14:paraId="6C70A8AB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Wyposażenie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dodatkowe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:</w:t>
            </w:r>
          </w:p>
          <w:p w14:paraId="390387A8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wyciągarka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elektryczna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uciągu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powyżej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5400kg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sterowana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bezprzewodowo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(pilot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podstawowy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bezprzewodowy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+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awaryjny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przewodowy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lina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długości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min. 26 mb,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pokrowiec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wciągarkę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instalacja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elektryczna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wciągarki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zabezpieczona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wyłącznikiem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mechanicznym</w:t>
            </w:r>
            <w:proofErr w:type="spellEnd"/>
          </w:p>
          <w:p w14:paraId="57780249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przód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zabezpieczony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orurowaniem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ze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stali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nierdzewnej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polerowanej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wysoki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połysk</w:t>
            </w:r>
            <w:proofErr w:type="spellEnd"/>
          </w:p>
          <w:p w14:paraId="31FC8496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(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wyciągarka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ujęta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Świadectwie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Dopuszczenia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CNBOP), </w:t>
            </w:r>
          </w:p>
          <w:p w14:paraId="3F772EB5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hak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holowniczy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dedykowany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przez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producenta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podwozia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kulowo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oczkowy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(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ujęty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Świadectwie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Dopuszczenia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CNBOP)</w:t>
            </w:r>
            <w:r w:rsidRPr="00EB2F9E">
              <w:rPr>
                <w:rFonts w:eastAsia="Calibri" w:cstheme="minorHAnsi"/>
                <w:lang w:eastAsia="pl-PL" w:bidi="pl-PL"/>
              </w:rPr>
              <w:t xml:space="preserve"> </w:t>
            </w:r>
          </w:p>
        </w:tc>
      </w:tr>
      <w:tr w:rsidR="00EB2F9E" w:rsidRPr="00EB2F9E" w14:paraId="4CE0BD91" w14:textId="77777777" w:rsidTr="00E04FF1">
        <w:trPr>
          <w:trHeight w:val="56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61FE7E9" w14:textId="77777777" w:rsidR="00EB2F9E" w:rsidRPr="00EB2F9E" w:rsidRDefault="00EB2F9E" w:rsidP="00B53486">
            <w:pPr>
              <w:ind w:left="244" w:right="240"/>
              <w:jc w:val="center"/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  <w:t>3</w:t>
            </w:r>
          </w:p>
          <w:p w14:paraId="4110D6E5" w14:textId="77777777" w:rsidR="00EB2F9E" w:rsidRPr="00EB2F9E" w:rsidRDefault="00EB2F9E" w:rsidP="00B53486">
            <w:pPr>
              <w:ind w:left="244" w:right="240"/>
              <w:jc w:val="center"/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</w:pPr>
          </w:p>
        </w:tc>
        <w:tc>
          <w:tcPr>
            <w:tcW w:w="13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E10F5C5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b/>
                <w:sz w:val="18"/>
                <w:szCs w:val="18"/>
                <w:lang w:eastAsia="pl-PL" w:bidi="pl-PL"/>
              </w:rPr>
              <w:t>Zabudowa</w:t>
            </w:r>
            <w:proofErr w:type="spellEnd"/>
            <w:r w:rsidRPr="00EB2F9E">
              <w:rPr>
                <w:rFonts w:eastAsia="Calibri" w:cstheme="minorHAnsi"/>
                <w:b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sz w:val="18"/>
                <w:szCs w:val="18"/>
                <w:lang w:eastAsia="pl-PL" w:bidi="pl-PL"/>
              </w:rPr>
              <w:t>pożarnicza</w:t>
            </w:r>
            <w:proofErr w:type="spellEnd"/>
            <w:r w:rsidRPr="00EB2F9E">
              <w:rPr>
                <w:rFonts w:eastAsia="Calibri" w:cstheme="minorHAnsi"/>
                <w:b/>
                <w:sz w:val="18"/>
                <w:szCs w:val="18"/>
                <w:lang w:eastAsia="pl-PL" w:bidi="pl-PL"/>
              </w:rPr>
              <w:t>:</w:t>
            </w:r>
          </w:p>
        </w:tc>
      </w:tr>
      <w:tr w:rsidR="00EB2F9E" w:rsidRPr="00EB2F9E" w14:paraId="64C4AC16" w14:textId="77777777" w:rsidTr="00E04FF1">
        <w:trPr>
          <w:trHeight w:val="125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4D54B3A" w14:textId="77777777" w:rsidR="00EB2F9E" w:rsidRPr="00EB2F9E" w:rsidRDefault="00EB2F9E" w:rsidP="00B53486">
            <w:pPr>
              <w:ind w:left="244" w:right="240"/>
              <w:jc w:val="center"/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  <w:t>3.1</w:t>
            </w:r>
          </w:p>
        </w:tc>
        <w:tc>
          <w:tcPr>
            <w:tcW w:w="13466" w:type="dxa"/>
            <w:tcBorders>
              <w:top w:val="single" w:sz="4" w:space="0" w:color="auto"/>
              <w:bottom w:val="single" w:sz="4" w:space="0" w:color="auto"/>
            </w:tcBorders>
          </w:tcPr>
          <w:p w14:paraId="65B3CAF5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Zabudowa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kontenerowa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wykonana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 z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materiałów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odpornych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korozję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–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stali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nierdzewnej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/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lub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aluminium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.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Pokrycie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zewnętrzne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wewnętrzne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wykonane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blachy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aluminiowej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.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Konstrukcja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szkieletowa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aluminiowa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.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Podłoga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półki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oraz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wszystkie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mocowania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szuflady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itd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wykonane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blachy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aluminiowej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. </w:t>
            </w:r>
          </w:p>
          <w:p w14:paraId="3D7DFF82" w14:textId="77777777" w:rsidR="00EB2F9E" w:rsidRPr="00EB2F9E" w:rsidRDefault="00EB2F9E" w:rsidP="00B53486">
            <w:pPr>
              <w:adjustRightInd w:val="0"/>
              <w:spacing w:line="240" w:lineRule="exact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>Wymiary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>zewnętrzne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>zabudowy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>:</w:t>
            </w:r>
          </w:p>
          <w:p w14:paraId="25BFE449" w14:textId="77777777" w:rsidR="00EB2F9E" w:rsidRPr="00EB2F9E" w:rsidRDefault="00EB2F9E" w:rsidP="00B53486">
            <w:pPr>
              <w:adjustRightInd w:val="0"/>
              <w:spacing w:line="240" w:lineRule="exact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>wysokość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>i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>szerokość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>równa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>wysokości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>i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>szerokości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>kabiny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/>
              </w:rPr>
              <w:t>pasażerskiej</w:t>
            </w:r>
            <w:proofErr w:type="spellEnd"/>
          </w:p>
        </w:tc>
      </w:tr>
      <w:tr w:rsidR="00EB2F9E" w:rsidRPr="00EB2F9E" w14:paraId="4DED7544" w14:textId="77777777" w:rsidTr="00E04FF1">
        <w:trPr>
          <w:trHeight w:val="26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AA666" w14:textId="77777777" w:rsidR="00EB2F9E" w:rsidRPr="00EB2F9E" w:rsidRDefault="00EB2F9E" w:rsidP="00B53486">
            <w:pPr>
              <w:ind w:left="244" w:right="240"/>
              <w:jc w:val="center"/>
              <w:rPr>
                <w:rFonts w:eastAsia="Calibri" w:cstheme="minorHAnsi"/>
                <w:bCs/>
                <w:w w:val="99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bCs/>
                <w:w w:val="99"/>
                <w:sz w:val="18"/>
                <w:szCs w:val="18"/>
                <w:lang w:eastAsia="pl-PL" w:bidi="pl-PL"/>
              </w:rPr>
              <w:t>3.2</w:t>
            </w:r>
          </w:p>
        </w:tc>
        <w:tc>
          <w:tcPr>
            <w:tcW w:w="13466" w:type="dxa"/>
            <w:tcBorders>
              <w:top w:val="single" w:sz="4" w:space="0" w:color="auto"/>
              <w:bottom w:val="single" w:sz="4" w:space="0" w:color="auto"/>
            </w:tcBorders>
          </w:tcPr>
          <w:p w14:paraId="7B9E9229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Wymiary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gabarytowe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zabudowy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:</w:t>
            </w:r>
          </w:p>
          <w:p w14:paraId="0D5A1972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Wysokość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równa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kabiną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podwozia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  <w:p w14:paraId="548EE947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Na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bokach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po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dwie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skrytki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każdą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stronę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umieszczone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symetrycznie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szerokości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minimalnej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1350mm, </w:t>
            </w:r>
          </w:p>
          <w:p w14:paraId="099831D9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skrytka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tylna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szerokości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minimalnej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820mm.</w:t>
            </w:r>
          </w:p>
          <w:p w14:paraId="2EBCF846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Skrytki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zamykane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żaluzjami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wodo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pyłoszczelnymi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systemem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wspomagania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podnoszenia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za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pomocą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sprężyny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  <w:p w14:paraId="228D4FE0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Wszystkie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żaluzje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zamykane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jednym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kluczem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wyposażone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klamkę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rurową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  <w:p w14:paraId="223E11EE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Uchwyty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klamki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wszystkich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urządzeń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drzwi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żaluzjowych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szuflad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podestów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tac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muszą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być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tak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skonstruowane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</w:p>
          <w:p w14:paraId="42428ADD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aby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możliwa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była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ich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obsługa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rękawicach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.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Dostęp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sprzętu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powinien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być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możliwy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zachowaniem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wymagań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ergonomii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</w:tc>
      </w:tr>
      <w:tr w:rsidR="00EB2F9E" w:rsidRPr="00EB2F9E" w14:paraId="52B4B8E2" w14:textId="77777777" w:rsidTr="00E04FF1">
        <w:trPr>
          <w:trHeight w:val="27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B8924A" w14:textId="77777777" w:rsidR="00EB2F9E" w:rsidRPr="00EB2F9E" w:rsidRDefault="00EB2F9E" w:rsidP="00B53486">
            <w:pPr>
              <w:ind w:left="244" w:right="240"/>
              <w:jc w:val="center"/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  <w:t>3.3</w:t>
            </w:r>
          </w:p>
        </w:tc>
        <w:tc>
          <w:tcPr>
            <w:tcW w:w="13466" w:type="dxa"/>
            <w:tcBorders>
              <w:top w:val="single" w:sz="4" w:space="0" w:color="auto"/>
              <w:bottom w:val="single" w:sz="4" w:space="0" w:color="auto"/>
            </w:tcBorders>
          </w:tcPr>
          <w:p w14:paraId="28D0D988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Wymagania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dla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zabudowy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. </w:t>
            </w:r>
          </w:p>
          <w:p w14:paraId="6F35F62B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Oświetlenie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wewnętrzne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zabudowy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automatyczne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wykonane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technologii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LED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dające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równomierne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doświetlenie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wnętrza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  <w:p w14:paraId="0431BF91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Szuflada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wysuwana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pozioma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mocowaniami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urządzenie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tupu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motopompa</w:t>
            </w:r>
            <w:proofErr w:type="spellEnd"/>
          </w:p>
          <w:p w14:paraId="038EDF8B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Trzy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pojemniki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techniczne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podręczne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wyposażenie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ratownicze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  <w:p w14:paraId="1B227E03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lastRenderedPageBreak/>
              <w:t>Mocowania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sprzętowe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dla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minimum:</w:t>
            </w:r>
          </w:p>
          <w:p w14:paraId="1548FA81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-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węży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tłocznych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: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przegrody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3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szt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. W52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i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3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szt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. W75</w:t>
            </w:r>
          </w:p>
          <w:p w14:paraId="2BBEF04B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Dach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formie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podestu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roboczego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wykonany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blachy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aluminiowej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ryflowanej</w:t>
            </w:r>
            <w:proofErr w:type="spellEnd"/>
          </w:p>
          <w:p w14:paraId="57154762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Na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dachu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skrzynia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sprzętowa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aluminiowa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(min. 1800mmx400mmx500mm)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wyposażona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oświetlenie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LED,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dwa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zamki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dociągowe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zabezpieczeniami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przed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otwarciem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oraz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system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podnoszenia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siłownikach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,</w:t>
            </w:r>
          </w:p>
          <w:p w14:paraId="66606825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Wejście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dach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za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pomocą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drabiny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wykonane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rur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nierdzewnych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polerowanych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połysk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ze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szczeblami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antypoślizgowymi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  <w:p w14:paraId="1B8842B6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Konstrukcja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dachu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przystosowana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obciążenia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masą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dwóch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ratowników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oraz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transportowanego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sprzętu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  <w:p w14:paraId="55740FD7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Podest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dachowy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zabezpieczony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barierką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wykonaną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rur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nierdzewnych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polerowanych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połysk</w:t>
            </w:r>
            <w:proofErr w:type="spellEnd"/>
          </w:p>
          <w:p w14:paraId="60908F22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Oświetlenie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pola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dachu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LED.</w:t>
            </w:r>
          </w:p>
          <w:p w14:paraId="24CFF800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Zewnętrzne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oświetlenie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robocze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pola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pracy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wykonane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technologii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LED min. 2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lampy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(min 25 DIOD LED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każda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lampa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)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każdym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boku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oraz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2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lampy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(7 DIOD LED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każda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)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tyłu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. </w:t>
            </w:r>
          </w:p>
          <w:p w14:paraId="5969DA03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W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przedniej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części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nadwozia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sprzętowego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zainstalowany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pneumatyczny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maszt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oświetleniowy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zasilany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pełni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dodatkowego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akumulatora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wyposażony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dwie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najaśnice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LED (2x180W) 32 000lm IP67.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Maszt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sterowany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automatyczne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pilotem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bezprzewodowym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-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obrót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najaśnic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dwóch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osiach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o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ponad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180°.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Maszt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funkcją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składania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automatycznego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pozycji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parkingowej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po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zwolnieniu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hamulca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postojowego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lub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pojedynczego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naciśnięcia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przycisku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wyłączania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pilocie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.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Automatyczne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składanie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masztu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musi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się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odbywać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każdej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pozycji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jakiej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maszt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będzie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ustawiony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.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Maszt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musi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posiadać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możliwość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ustawienia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dowolnego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poziomu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wysunięcia</w:t>
            </w:r>
            <w:proofErr w:type="spellEnd"/>
            <w:r w:rsidRPr="00EB2F9E"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  <w:t>.</w:t>
            </w:r>
          </w:p>
          <w:p w14:paraId="4CDD7FE7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4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szt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.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półek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blachy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aluminiowej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regulacją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wysokości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mocowaniami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sprzęt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dostarczony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przez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Zamawiającego</w:t>
            </w:r>
            <w:proofErr w:type="spellEnd"/>
          </w:p>
          <w:p w14:paraId="6880A073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Wykonawca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zobowiązuje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się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wykonania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mocowań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sprzęt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dostarczony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przez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Zamawiającego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(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piły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pilarki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kanistry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urządzenia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ratownicze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pachołki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motopompy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).</w:t>
            </w:r>
          </w:p>
        </w:tc>
      </w:tr>
      <w:tr w:rsidR="00EB2F9E" w:rsidRPr="00EB2F9E" w14:paraId="462C7D84" w14:textId="77777777" w:rsidTr="00E04FF1">
        <w:trPr>
          <w:trHeight w:val="27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A25A0CC" w14:textId="77777777" w:rsidR="00EB2F9E" w:rsidRPr="00EB2F9E" w:rsidRDefault="00EB2F9E" w:rsidP="00B53486">
            <w:pPr>
              <w:ind w:left="244" w:right="240"/>
              <w:jc w:val="center"/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  <w:lastRenderedPageBreak/>
              <w:t>3.4</w:t>
            </w:r>
          </w:p>
        </w:tc>
        <w:tc>
          <w:tcPr>
            <w:tcW w:w="13466" w:type="dxa"/>
            <w:tcBorders>
              <w:top w:val="single" w:sz="4" w:space="0" w:color="auto"/>
              <w:bottom w:val="single" w:sz="4" w:space="0" w:color="auto"/>
            </w:tcBorders>
          </w:tcPr>
          <w:p w14:paraId="1096A521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Agregat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wodno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–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pianowy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AWP 50/40, min.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wydajność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50 l/min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ciśnieniu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40 bar.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Linia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szybkiego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natarcia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min 60 mb,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przekładnia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kątowa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.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Agregat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posiadający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aktualne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Świadectwo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Dopuszczenia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CNBOP.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Zbiornik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wody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wykonany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polipropylenu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lub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innego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tworzywa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sztucznego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pojemności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min 200l. +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zbiornik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środek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pianotwórczy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10%.  Ze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względu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charakterystykę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pracy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agregatu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dopuszcza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się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zbiorników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wykonanych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ze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stali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lub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aluminium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konieczność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wykonania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materiałów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odpornych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kolizję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. </w:t>
            </w:r>
          </w:p>
          <w:p w14:paraId="7E498F91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Przedział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agregatu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ogrzewany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niezależnym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ogrzewaczem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typu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gorące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powietrze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korzystającym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paliwa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pojazdu</w:t>
            </w:r>
            <w:proofErr w:type="spellEnd"/>
          </w:p>
        </w:tc>
      </w:tr>
      <w:tr w:rsidR="00B53486" w:rsidRPr="00EB2F9E" w14:paraId="269B0E30" w14:textId="77777777" w:rsidTr="00E04FF1">
        <w:trPr>
          <w:trHeight w:val="4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51A6B60" w14:textId="257C1B95" w:rsidR="00B53486" w:rsidRPr="00EB2F9E" w:rsidRDefault="00B53486" w:rsidP="00B53486">
            <w:pPr>
              <w:ind w:left="244" w:right="240"/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</w:pPr>
            <w:r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  <w:t>4</w:t>
            </w:r>
          </w:p>
        </w:tc>
        <w:tc>
          <w:tcPr>
            <w:tcW w:w="13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61B1D" w14:textId="7EF16967" w:rsidR="00B53486" w:rsidRPr="007E710A" w:rsidRDefault="00B53486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</w:pPr>
            <w:proofErr w:type="spellStart"/>
            <w:r w:rsidRPr="007E710A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Wymagania</w:t>
            </w:r>
            <w:proofErr w:type="spellEnd"/>
            <w:r w:rsidRPr="007E710A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7E710A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pozostałe</w:t>
            </w:r>
            <w:proofErr w:type="spellEnd"/>
            <w:r w:rsidRPr="007E710A">
              <w:rPr>
                <w:rFonts w:eastAsia="Calibri" w:cstheme="minorHAnsi"/>
                <w:b/>
                <w:bCs/>
                <w:sz w:val="18"/>
                <w:szCs w:val="18"/>
                <w:lang w:eastAsia="pl-PL" w:bidi="pl-PL"/>
              </w:rPr>
              <w:t>:</w:t>
            </w:r>
          </w:p>
        </w:tc>
      </w:tr>
      <w:tr w:rsidR="00EB2F9E" w:rsidRPr="00EB2F9E" w14:paraId="2531E19C" w14:textId="77777777" w:rsidTr="00E04FF1">
        <w:trPr>
          <w:trHeight w:val="4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12B60F" w14:textId="78DB58EF" w:rsidR="00EB2F9E" w:rsidRPr="00EB2F9E" w:rsidRDefault="00EB2F9E" w:rsidP="00B53486">
            <w:pPr>
              <w:ind w:left="244" w:right="240"/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  <w:t>4.1</w:t>
            </w:r>
          </w:p>
        </w:tc>
        <w:tc>
          <w:tcPr>
            <w:tcW w:w="13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F3078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Minimalny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okres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gwarancji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wymagany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przez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zamawiającego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– 24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miesiące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  <w:p w14:paraId="4A534F53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Dostarczone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instrukcje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obsługi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podwozia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zabudowy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oraz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wyposażenia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powinny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być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sporządzone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języku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polskim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  <w:p w14:paraId="7916F3EC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Świadectwo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dopuszczenia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użytkowania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ochronie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przeciwpożarowej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dla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oraz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dokumentacja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niezbędna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 do 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zarejestrowania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jako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samochód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specjalny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, 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wynikająca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 z 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ustawy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 „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Prawo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ruchu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drogowym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”.</w:t>
            </w:r>
          </w:p>
          <w:p w14:paraId="00989D99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ind w:left="99"/>
              <w:jc w:val="both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Bezpłatne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szkolenie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z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obsługi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pojazdu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oraz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wyposażenia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przeprowadzone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dla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przedstawicieli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Zamawiającego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dniu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odbioru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w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siedzibie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Wykonawcy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. </w:t>
            </w:r>
          </w:p>
          <w:p w14:paraId="79E2A99B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</w:pPr>
          </w:p>
        </w:tc>
      </w:tr>
      <w:tr w:rsidR="00EB2F9E" w:rsidRPr="00EB2F9E" w14:paraId="709D6ED1" w14:textId="77777777" w:rsidTr="00E04FF1">
        <w:trPr>
          <w:trHeight w:val="36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8F3B2" w14:textId="77777777" w:rsidR="00EB2F9E" w:rsidRPr="00EB2F9E" w:rsidRDefault="00EB2F9E" w:rsidP="00B53486">
            <w:pPr>
              <w:ind w:left="244" w:right="240"/>
              <w:jc w:val="center"/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  <w:t>4.2</w:t>
            </w:r>
          </w:p>
        </w:tc>
        <w:tc>
          <w:tcPr>
            <w:tcW w:w="13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994DC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Czas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reakcji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serwisu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max. 72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godziny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.</w:t>
            </w:r>
          </w:p>
        </w:tc>
      </w:tr>
      <w:tr w:rsidR="00EB2F9E" w:rsidRPr="00EB2F9E" w14:paraId="3D8E7513" w14:textId="77777777" w:rsidTr="00E04FF1">
        <w:trPr>
          <w:trHeight w:val="4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2B12DD4" w14:textId="77777777" w:rsidR="00EB2F9E" w:rsidRPr="00EB2F9E" w:rsidRDefault="00EB2F9E" w:rsidP="00B53486">
            <w:pPr>
              <w:ind w:left="244" w:right="240"/>
              <w:jc w:val="center"/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</w:pPr>
            <w:r w:rsidRPr="00EB2F9E">
              <w:rPr>
                <w:rFonts w:eastAsia="Calibri" w:cstheme="minorHAnsi"/>
                <w:w w:val="99"/>
                <w:sz w:val="18"/>
                <w:szCs w:val="18"/>
                <w:lang w:eastAsia="pl-PL" w:bidi="pl-PL"/>
              </w:rPr>
              <w:t>4.3</w:t>
            </w:r>
          </w:p>
        </w:tc>
        <w:tc>
          <w:tcPr>
            <w:tcW w:w="13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7F90E" w14:textId="77777777" w:rsidR="00EB2F9E" w:rsidRPr="00EB2F9E" w:rsidRDefault="00EB2F9E" w:rsidP="00B53486">
            <w:pPr>
              <w:tabs>
                <w:tab w:val="left" w:pos="203"/>
              </w:tabs>
              <w:spacing w:before="18"/>
              <w:rPr>
                <w:rFonts w:eastAsia="Calibri" w:cstheme="minorHAnsi"/>
                <w:color w:val="000000" w:themeColor="text1"/>
                <w:sz w:val="18"/>
                <w:szCs w:val="18"/>
                <w:lang w:eastAsia="pl-PL" w:bidi="pl-PL"/>
              </w:rPr>
            </w:pP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Pojazd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wydania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będzie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zatankowany</w:t>
            </w:r>
            <w:proofErr w:type="spellEnd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 xml:space="preserve"> do </w:t>
            </w:r>
            <w:proofErr w:type="spellStart"/>
            <w:r w:rsidRPr="00EB2F9E">
              <w:rPr>
                <w:rFonts w:eastAsia="Calibri" w:cstheme="minorHAnsi"/>
                <w:sz w:val="18"/>
                <w:szCs w:val="18"/>
                <w:lang w:eastAsia="pl-PL" w:bidi="pl-PL"/>
              </w:rPr>
              <w:t>pełna</w:t>
            </w:r>
            <w:proofErr w:type="spellEnd"/>
          </w:p>
        </w:tc>
      </w:tr>
    </w:tbl>
    <w:tbl>
      <w:tblPr>
        <w:tblpPr w:leftFromText="141" w:rightFromText="141" w:vertAnchor="text" w:tblpX="14161" w:tblpY="-2519"/>
        <w:tblW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B53486" w14:paraId="6E0E07CE" w14:textId="77777777" w:rsidTr="00B5348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0" w:type="dxa"/>
          </w:tcPr>
          <w:p w14:paraId="387B5238" w14:textId="77777777" w:rsidR="00B53486" w:rsidRDefault="00B53486" w:rsidP="00B53486">
            <w:pPr>
              <w:rPr>
                <w:rFonts w:cstheme="minorHAnsi"/>
              </w:rPr>
            </w:pPr>
          </w:p>
        </w:tc>
      </w:tr>
    </w:tbl>
    <w:p w14:paraId="1D2E2E33" w14:textId="6C924D84" w:rsidR="00EB2F9E" w:rsidRPr="00EB2F9E" w:rsidRDefault="00B53486" w:rsidP="00EB2F9E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33358EE3" w14:textId="77777777" w:rsidR="00075DEE" w:rsidRDefault="00075DEE"/>
    <w:sectPr w:rsidR="00075DEE" w:rsidSect="002B51F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063D" w14:textId="77777777" w:rsidR="008C327A" w:rsidRDefault="008C327A">
      <w:pPr>
        <w:spacing w:after="0" w:line="240" w:lineRule="auto"/>
      </w:pPr>
      <w:r>
        <w:separator/>
      </w:r>
    </w:p>
  </w:endnote>
  <w:endnote w:type="continuationSeparator" w:id="0">
    <w:p w14:paraId="3E8D229F" w14:textId="77777777" w:rsidR="008C327A" w:rsidRDefault="008C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7190" w14:textId="77777777" w:rsidR="008C327A" w:rsidRDefault="008C327A">
      <w:pPr>
        <w:spacing w:after="0" w:line="240" w:lineRule="auto"/>
      </w:pPr>
      <w:r>
        <w:separator/>
      </w:r>
    </w:p>
  </w:footnote>
  <w:footnote w:type="continuationSeparator" w:id="0">
    <w:p w14:paraId="58F53AB9" w14:textId="77777777" w:rsidR="008C327A" w:rsidRDefault="008C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1B45" w14:textId="77777777" w:rsidR="00BE4C80" w:rsidRPr="00BE4C80" w:rsidRDefault="00000000" w:rsidP="00BE4C80">
    <w:pPr>
      <w:pStyle w:val="Nagwek"/>
      <w:jc w:val="right"/>
      <w:rPr>
        <w:b/>
        <w:bCs/>
      </w:rPr>
    </w:pPr>
    <w:r w:rsidRPr="00BE4C80">
      <w:rPr>
        <w:b/>
        <w:bCs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38F4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num w:numId="1" w16cid:durableId="43694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9E"/>
    <w:rsid w:val="00075DEE"/>
    <w:rsid w:val="00090005"/>
    <w:rsid w:val="00746F1C"/>
    <w:rsid w:val="007E710A"/>
    <w:rsid w:val="008C327A"/>
    <w:rsid w:val="008C6CF9"/>
    <w:rsid w:val="00B53486"/>
    <w:rsid w:val="00E04FF1"/>
    <w:rsid w:val="00E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2043"/>
  <w15:chartTrackingRefBased/>
  <w15:docId w15:val="{F3F748BE-1D92-4436-8977-0242E9BE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F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B2F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9E"/>
  </w:style>
  <w:style w:type="paragraph" w:styleId="Stopka">
    <w:name w:val="footer"/>
    <w:basedOn w:val="Normalny"/>
    <w:link w:val="StopkaZnak"/>
    <w:uiPriority w:val="99"/>
    <w:unhideWhenUsed/>
    <w:rsid w:val="00E0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1579</Words>
  <Characters>9478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dcterms:created xsi:type="dcterms:W3CDTF">2022-11-10T12:20:00Z</dcterms:created>
  <dcterms:modified xsi:type="dcterms:W3CDTF">2022-11-10T14:53:00Z</dcterms:modified>
</cp:coreProperties>
</file>