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31CB7" w14:textId="41F4905D" w:rsidR="00067470" w:rsidRDefault="009E231D" w:rsidP="00106AF3">
      <w:pPr>
        <w:tabs>
          <w:tab w:val="left" w:pos="1068"/>
          <w:tab w:val="left" w:pos="5400"/>
        </w:tabs>
        <w:spacing w:after="0"/>
        <w:rPr>
          <w:rFonts w:ascii="Calibri" w:eastAsia="Calibri" w:hAnsi="Calibri" w:cs="Times New Roman"/>
          <w:bCs/>
        </w:rPr>
      </w:pPr>
      <w:bookmarkStart w:id="0" w:name="_Hlk110857504"/>
      <w:r w:rsidRPr="008D7DDA">
        <w:rPr>
          <w:rFonts w:ascii="ArialUnicodeMS" w:eastAsia="Times New Roman" w:hAnsi="ArialUnicodeMS" w:cs="ArialUnicodeMS"/>
          <w:noProof/>
          <w:kern w:val="2"/>
          <w:sz w:val="17"/>
          <w:szCs w:val="17"/>
          <w:lang w:eastAsia="pl-PL"/>
          <w14:ligatures w14:val="standardContextual"/>
        </w:rPr>
        <w:drawing>
          <wp:inline distT="0" distB="0" distL="0" distR="0" wp14:anchorId="027015A4" wp14:editId="1C055EA0">
            <wp:extent cx="1283970" cy="578485"/>
            <wp:effectExtent l="0" t="0" r="0" b="0"/>
            <wp:docPr id="73" name="Obraz 73" descr="Logo Agencji Badań Medycznych" title="Logo A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M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470">
        <w:rPr>
          <w:rFonts w:ascii="Calibri" w:eastAsia="Calibri" w:hAnsi="Calibri" w:cs="Times New Roman"/>
          <w:bCs/>
        </w:rPr>
        <w:tab/>
      </w:r>
      <w:r w:rsidR="00067470">
        <w:rPr>
          <w:rFonts w:ascii="Calibri" w:eastAsia="Calibri" w:hAnsi="Calibri" w:cs="Times New Roman"/>
          <w:bCs/>
        </w:rPr>
        <w:tab/>
      </w:r>
      <w:r w:rsidRPr="008D7DDA">
        <w:rPr>
          <w:rFonts w:ascii="ArialUnicodeMS" w:eastAsia="Times New Roman" w:hAnsi="ArialUnicodeMS" w:cs="ArialUnicodeMS"/>
          <w:noProof/>
          <w:kern w:val="2"/>
          <w:sz w:val="17"/>
          <w:szCs w:val="17"/>
          <w:lang w:eastAsia="pl-PL"/>
          <w14:ligatures w14:val="standardContextual"/>
        </w:rPr>
        <w:drawing>
          <wp:inline distT="0" distB="0" distL="0" distR="0" wp14:anchorId="5499B347" wp14:editId="1572D20C">
            <wp:extent cx="1813560" cy="466090"/>
            <wp:effectExtent l="0" t="0" r="0" b="0"/>
            <wp:docPr id="2063138519" name="Obraz 2063138519" descr="Logo Uniwersytetu Medycznego w Łodzi" title="Logo UMed Łód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wersytet Medyczny w Łodz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34662" w14:textId="150BDCD2" w:rsidR="009E231D" w:rsidRPr="008B2948" w:rsidRDefault="009E231D" w:rsidP="00106AF3">
      <w:pPr>
        <w:tabs>
          <w:tab w:val="left" w:pos="1068"/>
          <w:tab w:val="left" w:pos="5400"/>
        </w:tabs>
        <w:spacing w:after="0"/>
        <w:rPr>
          <w:rStyle w:val="Brak"/>
          <w:rFonts w:ascii="Calibri" w:hAnsi="Calibri" w:cs="Calibri"/>
          <w:b/>
          <w:bCs/>
        </w:rPr>
      </w:pPr>
      <w:r w:rsidRPr="00B00490">
        <w:rPr>
          <w:rFonts w:ascii="Calibri" w:eastAsia="Calibri" w:hAnsi="Calibri" w:cs="Times New Roman"/>
          <w:bCs/>
        </w:rPr>
        <w:t>MAGIC-AML - Multiarm, Multicenter, RAndomized, Molecularly-GuIded</w:t>
      </w:r>
      <w:r>
        <w:rPr>
          <w:rFonts w:ascii="Calibri" w:eastAsia="Calibri" w:hAnsi="Calibri" w:cs="Times New Roman"/>
          <w:bCs/>
        </w:rPr>
        <w:t xml:space="preserve"> </w:t>
      </w:r>
      <w:r w:rsidRPr="00B00490">
        <w:rPr>
          <w:rFonts w:ascii="Calibri" w:eastAsia="Calibri" w:hAnsi="Calibri" w:cs="Times New Roman"/>
          <w:bCs/>
        </w:rPr>
        <w:t>Controlled Trial of Personalized Treatment Strategy - of Acute Myeloid Leukemia, projekt finansowany ze środków Agencji Badań Medycznych, 2022/ABM/01/00021-00</w:t>
      </w:r>
    </w:p>
    <w:bookmarkEnd w:id="0"/>
    <w:p w14:paraId="2A7DEC71" w14:textId="53F71AE3" w:rsidR="00483F79" w:rsidRDefault="00483F79" w:rsidP="00106AF3">
      <w:pPr>
        <w:pStyle w:val="Normalny2"/>
        <w:rPr>
          <w:rStyle w:val="Brak"/>
          <w:b w:val="0"/>
          <w:bCs w:val="0"/>
        </w:rPr>
      </w:pPr>
      <w:r w:rsidRPr="00D61921">
        <w:rPr>
          <w:rStyle w:val="Brak"/>
        </w:rPr>
        <w:t xml:space="preserve">Załącznik </w:t>
      </w:r>
      <w:r w:rsidRPr="002F149B">
        <w:rPr>
          <w:rStyle w:val="Brak"/>
        </w:rPr>
        <w:t>nr 2</w:t>
      </w:r>
      <w:r w:rsidRPr="00D61921">
        <w:rPr>
          <w:rStyle w:val="Brak"/>
        </w:rPr>
        <w:t xml:space="preserve"> do SWZ</w:t>
      </w:r>
    </w:p>
    <w:p w14:paraId="3BE477EE" w14:textId="77777777" w:rsidR="00483F79" w:rsidRPr="00D61921" w:rsidRDefault="00483F79" w:rsidP="00106AF3">
      <w:pPr>
        <w:pStyle w:val="Normalny2"/>
        <w:rPr>
          <w:rStyle w:val="Brak"/>
          <w:rFonts w:eastAsia="Tahoma"/>
        </w:rPr>
      </w:pPr>
      <w:r w:rsidRPr="00D61921">
        <w:rPr>
          <w:rStyle w:val="Brak"/>
        </w:rPr>
        <w:t>Nr sprawy: ZP/</w:t>
      </w:r>
      <w:r>
        <w:rPr>
          <w:rStyle w:val="Brak"/>
        </w:rPr>
        <w:t>21</w:t>
      </w:r>
      <w:r w:rsidRPr="00D61921">
        <w:rPr>
          <w:rStyle w:val="Brak"/>
        </w:rPr>
        <w:t>/2023</w:t>
      </w:r>
    </w:p>
    <w:p w14:paraId="42225080" w14:textId="76098810" w:rsidR="005D04AC" w:rsidRPr="00B00748" w:rsidRDefault="00FD6656" w:rsidP="00106AF3">
      <w:pPr>
        <w:pStyle w:val="Normalny3"/>
      </w:pPr>
      <w:r w:rsidRPr="00B00748">
        <w:t>PRZEDMIOT ZAMÓWIENIA</w:t>
      </w:r>
    </w:p>
    <w:p w14:paraId="409C4375" w14:textId="4A4F5111" w:rsidR="008419FF" w:rsidRPr="002D2D59" w:rsidRDefault="00337D0E" w:rsidP="00106AF3">
      <w:r w:rsidRPr="002D2D59">
        <w:rPr>
          <w:rFonts w:eastAsia="Verdana"/>
          <w:color w:val="000000"/>
          <w:lang w:eastAsia="pl-PL"/>
        </w:rPr>
        <w:t xml:space="preserve">Przedmiotem zamówienia jest </w:t>
      </w:r>
      <w:r w:rsidR="008419FF" w:rsidRPr="002D2D59">
        <w:t xml:space="preserve">pełnienie roli CRO w ramach realizowanego </w:t>
      </w:r>
      <w:r w:rsidR="00B647A3" w:rsidRPr="002D2D59">
        <w:t xml:space="preserve">przez </w:t>
      </w:r>
      <w:r w:rsidR="00DF699D" w:rsidRPr="002D2D59">
        <w:t>z</w:t>
      </w:r>
      <w:r w:rsidR="00F63FA0" w:rsidRPr="002D2D59">
        <w:t xml:space="preserve">amawiającego </w:t>
      </w:r>
      <w:r w:rsidR="005D04AC" w:rsidRPr="002D2D59">
        <w:t xml:space="preserve">niekomercyjnego </w:t>
      </w:r>
      <w:r w:rsidR="00B647A3" w:rsidRPr="002D2D59">
        <w:t xml:space="preserve">badania klinicznego </w:t>
      </w:r>
      <w:bookmarkStart w:id="1" w:name="_Hlk130279680"/>
      <w:r w:rsidR="008419FF" w:rsidRPr="002D2D59">
        <w:t xml:space="preserve">„Multiarm, Multicenter, RAndomized, Molecularly-GuIded ControlledTrial of Personalized Treatment Strategy - of Acute Myeloid Leukemia” / „Wieloramienne, wieloośrodkowe, randomizowane, oparte o diagnostykę molekularną, kontrolowane badanie kliniczne spersonalizowanej strategii leczenia w ostrej białaczce szpikowej MAGIC-AML” </w:t>
      </w:r>
      <w:r w:rsidR="008419FF" w:rsidRPr="002D2D59">
        <w:rPr>
          <w:bCs/>
        </w:rPr>
        <w:t>2</w:t>
      </w:r>
      <w:r w:rsidR="008419FF" w:rsidRPr="002D2D59">
        <w:t>022/ABM/02/00021, finansowanego ze środków Agencji Badań Medycznych.</w:t>
      </w:r>
    </w:p>
    <w:bookmarkEnd w:id="1"/>
    <w:p w14:paraId="24E1963A" w14:textId="65150292" w:rsidR="008419FF" w:rsidRPr="002D2D59" w:rsidRDefault="00F63FA0" w:rsidP="00106AF3">
      <w:r w:rsidRPr="002D2D59">
        <w:t>Zamawiający</w:t>
      </w:r>
      <w:r w:rsidR="008419FF" w:rsidRPr="002D2D59">
        <w:t xml:space="preserve"> planuje realizację badania klinicznego w </w:t>
      </w:r>
      <w:r w:rsidRPr="002D2D59">
        <w:t xml:space="preserve">13 ośrodkach badawczych </w:t>
      </w:r>
      <w:r w:rsidR="008419FF" w:rsidRPr="002D2D59">
        <w:t xml:space="preserve">zlokalizowanych </w:t>
      </w:r>
      <w:r w:rsidR="66AAC8EC" w:rsidRPr="002D2D59">
        <w:t xml:space="preserve">na terenie Polski </w:t>
      </w:r>
      <w:r w:rsidR="008419FF" w:rsidRPr="002D2D59">
        <w:t>w: Białymstoku, Gdańsku, Katowicach, Kielcach, Krakowie, Lublinie, Łodzi, Olsztynie, Poznaniu, Rzeszowie, Toruniu, Warszawie, Wrocławiu.</w:t>
      </w:r>
    </w:p>
    <w:p w14:paraId="41432DC7" w14:textId="1C2916BE" w:rsidR="00DA5240" w:rsidRPr="002D2D59" w:rsidRDefault="00DA5240" w:rsidP="00106AF3">
      <w:r w:rsidRPr="002D2D59">
        <w:t>Planowana liczba pacjentów, którzy zostaną włączeni do badania i przyjmą przynajmniej jedną dawkę badanego produktu leczniczego</w:t>
      </w:r>
      <w:r w:rsidR="007B0311">
        <w:t xml:space="preserve"> wynosi - </w:t>
      </w:r>
      <w:r w:rsidRPr="002D2D59">
        <w:t>520</w:t>
      </w:r>
      <w:r w:rsidR="007B0311">
        <w:t xml:space="preserve"> pacjentów</w:t>
      </w:r>
      <w:r w:rsidRPr="002D2D59">
        <w:t>.</w:t>
      </w:r>
    </w:p>
    <w:p w14:paraId="27F24F4D" w14:textId="77A1FB7C" w:rsidR="00337D0E" w:rsidRPr="004D6B3B" w:rsidRDefault="00D9241E" w:rsidP="00106AF3">
      <w:pPr>
        <w:pStyle w:val="Normalny2"/>
      </w:pPr>
      <w:bookmarkStart w:id="2" w:name="_Hlk39237294"/>
      <w:r w:rsidRPr="004D6B3B">
        <w:t>Przedmiot zamówienia obejmuje:</w:t>
      </w:r>
    </w:p>
    <w:p w14:paraId="2B13A269" w14:textId="2CA2B68B" w:rsidR="00DA5240" w:rsidRPr="002D2D59" w:rsidRDefault="69D724BA" w:rsidP="00106AF3">
      <w:pPr>
        <w:pStyle w:val="Lista1"/>
      </w:pPr>
      <w:bookmarkStart w:id="3" w:name="_Hlk121219609"/>
      <w:r w:rsidRPr="00E86C8E">
        <w:rPr>
          <w:b/>
          <w:bCs/>
        </w:rPr>
        <w:t>Opracowanie planu monitorowania</w:t>
      </w:r>
      <w:r w:rsidRPr="002D2D59">
        <w:t xml:space="preserve"> badania w oparciu o model analizy ryzyka oraz zapewnienie bieżącej aktualizacji planu monitorowania w trakcie r</w:t>
      </w:r>
      <w:r w:rsidR="0B08E444" w:rsidRPr="002D2D59">
        <w:t>ealizacji usługi w uzasadnionych przypadkach. P</w:t>
      </w:r>
      <w:r w:rsidR="2C805B01" w:rsidRPr="002D2D59">
        <w:t xml:space="preserve">lan monitorowania </w:t>
      </w:r>
      <w:r w:rsidR="49ADC975" w:rsidRPr="002D2D59">
        <w:t>w modelu opartym o czynnik ryzyka</w:t>
      </w:r>
      <w:r w:rsidR="29003C0E" w:rsidRPr="002D2D59">
        <w:t xml:space="preserve"> będzie</w:t>
      </w:r>
      <w:r w:rsidR="2C805B01" w:rsidRPr="002D2D59">
        <w:t xml:space="preserve"> opracowan</w:t>
      </w:r>
      <w:r w:rsidR="4F810CEB" w:rsidRPr="002D2D59">
        <w:t>y</w:t>
      </w:r>
      <w:r w:rsidR="2C805B01" w:rsidRPr="002D2D59">
        <w:t xml:space="preserve"> w</w:t>
      </w:r>
      <w:r w:rsidR="00343CA4" w:rsidRPr="002D2D59">
        <w:t xml:space="preserve"> oparciu o Protokół Badania Klinicznego MAGIC-AML</w:t>
      </w:r>
      <w:r w:rsidR="00226238" w:rsidRPr="002D2D59">
        <w:t xml:space="preserve"> </w:t>
      </w:r>
      <w:r w:rsidR="1EC1C4C4" w:rsidRPr="002D2D59">
        <w:t xml:space="preserve">i we współpracy </w:t>
      </w:r>
      <w:r w:rsidR="003038A9" w:rsidRPr="002D2D59">
        <w:t>z Zamawiającym</w:t>
      </w:r>
      <w:r w:rsidR="1EC1C4C4" w:rsidRPr="002D2D59">
        <w:t xml:space="preserve"> z uwzględnieniem</w:t>
      </w:r>
      <w:r w:rsidR="004E2295" w:rsidRPr="002D2D59">
        <w:t xml:space="preserve"> </w:t>
      </w:r>
      <w:r w:rsidR="00226238" w:rsidRPr="002D2D59">
        <w:t>wszelki</w:t>
      </w:r>
      <w:r w:rsidR="0852AEA7" w:rsidRPr="002D2D59">
        <w:t>ch</w:t>
      </w:r>
      <w:r w:rsidR="00226238" w:rsidRPr="002D2D59">
        <w:t xml:space="preserve"> obowiązując</w:t>
      </w:r>
      <w:r w:rsidR="1203EDE3" w:rsidRPr="002D2D59">
        <w:t>ych</w:t>
      </w:r>
      <w:r w:rsidR="00226238" w:rsidRPr="002D2D59">
        <w:t xml:space="preserve"> przepis</w:t>
      </w:r>
      <w:r w:rsidR="7A8FBEDD" w:rsidRPr="002D2D59">
        <w:t>ów</w:t>
      </w:r>
      <w:r w:rsidR="004E2295" w:rsidRPr="002D2D59">
        <w:t xml:space="preserve"> prawn</w:t>
      </w:r>
      <w:r w:rsidR="13E20133" w:rsidRPr="002D2D59">
        <w:t>ych</w:t>
      </w:r>
      <w:r w:rsidR="00226238" w:rsidRPr="002D2D59">
        <w:t xml:space="preserve"> i wytyczn</w:t>
      </w:r>
      <w:r w:rsidR="5F82E4AD" w:rsidRPr="002D2D59">
        <w:t>ych</w:t>
      </w:r>
      <w:r w:rsidR="004E2295" w:rsidRPr="002D2D59">
        <w:t xml:space="preserve"> dotycząc</w:t>
      </w:r>
      <w:r w:rsidR="09C76223" w:rsidRPr="002D2D59">
        <w:t>ych</w:t>
      </w:r>
      <w:r w:rsidR="004E2295" w:rsidRPr="002D2D59">
        <w:t xml:space="preserve"> dobrych praktyk</w:t>
      </w:r>
      <w:r w:rsidR="0012332C" w:rsidRPr="002D2D59">
        <w:t>, przede wszystkim Rozporządzenia Parlamentu Europejskiego i Rady (UE) nr 536/2014 z dnia 16 kwietnia 2014 r. w sprawie badań klinicznych produktów leczniczych stosowanych u ludzi oraz uchylenia dyrektywy 2001/20/WE (zwanym dalej: „Rozporządzenie 536/2014”), Rozporządzenia Ministra Zdrowia z dnia 2 maja 2012 r. w sprawie Dobrej Praktyki Klinicznej, Guideline for good clinical practice E6(R2) EMA/CHMP/ICH/135/1995, Reflection paper on risk based quality management in clinical trials EMA/269011/2013</w:t>
      </w:r>
      <w:r w:rsidR="00CC3A81" w:rsidRPr="002D2D59">
        <w:t>,</w:t>
      </w:r>
      <w:r w:rsidR="0012332C" w:rsidRPr="002D2D59">
        <w:t xml:space="preserve"> </w:t>
      </w:r>
      <w:r w:rsidR="713CC17A" w:rsidRPr="002D2D59">
        <w:t xml:space="preserve"> przy czym ostateczna akceptacja </w:t>
      </w:r>
      <w:r w:rsidR="4CD9F81A" w:rsidRPr="002D2D59">
        <w:t xml:space="preserve">rzeczowego planu </w:t>
      </w:r>
      <w:r w:rsidR="003038A9" w:rsidRPr="002D2D59">
        <w:t xml:space="preserve">monitorowania </w:t>
      </w:r>
      <w:r w:rsidR="713CC17A" w:rsidRPr="002D2D59">
        <w:t xml:space="preserve">pozostaje po stronie </w:t>
      </w:r>
      <w:r w:rsidR="003038A9" w:rsidRPr="002D2D59">
        <w:t>Zamawiającego.</w:t>
      </w:r>
    </w:p>
    <w:p w14:paraId="5A55AEC4" w14:textId="671C41E2" w:rsidR="007A63F9" w:rsidRPr="002D2D59" w:rsidRDefault="036C0912" w:rsidP="00106AF3">
      <w:pPr>
        <w:pStyle w:val="Lista1"/>
        <w:numPr>
          <w:ilvl w:val="0"/>
          <w:numId w:val="0"/>
        </w:numPr>
        <w:ind w:left="714"/>
      </w:pPr>
      <w:r w:rsidRPr="002D2D59">
        <w:lastRenderedPageBreak/>
        <w:t>Plan Monitorowania jest dokumentem opisującym działania, jakie musi podjąć CRO</w:t>
      </w:r>
      <w:r w:rsidR="00CC3A81" w:rsidRPr="002D2D59">
        <w:t xml:space="preserve"> (Clinical research Organisation)</w:t>
      </w:r>
      <w:r w:rsidRPr="002D2D59">
        <w:t xml:space="preserve"> działając</w:t>
      </w:r>
      <w:r w:rsidR="00926DD6" w:rsidRPr="002D2D59">
        <w:t>y</w:t>
      </w:r>
      <w:r w:rsidRPr="002D2D59">
        <w:t xml:space="preserve"> na zlecenie </w:t>
      </w:r>
      <w:r w:rsidR="00926DD6" w:rsidRPr="002D2D59">
        <w:t>Zamawiającego</w:t>
      </w:r>
      <w:r w:rsidRPr="002D2D59">
        <w:t xml:space="preserve">, a w szczególności </w:t>
      </w:r>
      <w:r w:rsidR="00945329" w:rsidRPr="002D2D59">
        <w:t>m</w:t>
      </w:r>
      <w:r w:rsidRPr="002D2D59">
        <w:t>onitor badania klinicznego</w:t>
      </w:r>
      <w:r w:rsidR="00CC3A81" w:rsidRPr="002D2D59">
        <w:t xml:space="preserve"> (CRA, Clinical Research Associate)</w:t>
      </w:r>
      <w:r w:rsidRPr="002D2D59">
        <w:t xml:space="preserve">, w celu przeprowadzenia </w:t>
      </w:r>
      <w:r w:rsidR="58584182" w:rsidRPr="002D2D59">
        <w:t xml:space="preserve">wizyt monitorujących </w:t>
      </w:r>
      <w:r w:rsidRPr="002D2D59">
        <w:t xml:space="preserve">w </w:t>
      </w:r>
      <w:r w:rsidR="00945329" w:rsidRPr="002D2D59">
        <w:t>o</w:t>
      </w:r>
      <w:r w:rsidR="002F1EAB" w:rsidRPr="002D2D59">
        <w:t xml:space="preserve">środku </w:t>
      </w:r>
      <w:r w:rsidR="00945329" w:rsidRPr="002D2D59">
        <w:t>b</w:t>
      </w:r>
      <w:r w:rsidR="002F1EAB" w:rsidRPr="002D2D59">
        <w:t>adawczym</w:t>
      </w:r>
      <w:r w:rsidRPr="002D2D59">
        <w:t>, w tym wizyty inicjującej, oraz zamykającej.</w:t>
      </w:r>
    </w:p>
    <w:p w14:paraId="383984C4" w14:textId="5AAA67B4" w:rsidR="00EB57C5" w:rsidRPr="002D2D59" w:rsidRDefault="036C0912" w:rsidP="00106AF3">
      <w:pPr>
        <w:pStyle w:val="Lista1"/>
        <w:numPr>
          <w:ilvl w:val="0"/>
          <w:numId w:val="0"/>
        </w:numPr>
        <w:ind w:left="714"/>
      </w:pPr>
      <w:r w:rsidRPr="00E86C8E">
        <w:rPr>
          <w:b/>
          <w:bCs/>
        </w:rPr>
        <w:t xml:space="preserve">Celem </w:t>
      </w:r>
      <w:r w:rsidR="00945329" w:rsidRPr="00E86C8E">
        <w:rPr>
          <w:b/>
          <w:bCs/>
        </w:rPr>
        <w:t>monitorowania badania</w:t>
      </w:r>
      <w:r w:rsidR="00945329" w:rsidRPr="002D2D59">
        <w:t xml:space="preserve"> jest weryfikacja, czy prawa, bezpieczeństwo i dobrostan uczestników są chronione, a także weryfikacja wiarygodności i odporności zgłaszanych danych oraz zapewnienie, aby prowadzenie badania klinicznego było zgodne z wymogami Rozporządzenia Parlamentu Europejskiego i Rady (UE) nr 536/2014 z dnia 16 kwietnia 2014 r. w sprawie badań klinicznych produktów leczniczych stosowanych u ludzi oraz uchylenia dyrektywy 2001/20/WE, Rozporządzeniem Ministra Zdrowia z dnia 2 maja 2012 r. w sprawie Dobrej Praktyki Klinicznej, </w:t>
      </w:r>
      <w:r w:rsidR="00C84D5F" w:rsidRPr="002D2D59">
        <w:t xml:space="preserve">Ustawą z dnia 6 września </w:t>
      </w:r>
      <w:r w:rsidR="00226DF1" w:rsidRPr="002D2D59">
        <w:t xml:space="preserve">2001 </w:t>
      </w:r>
      <w:r w:rsidR="00945329" w:rsidRPr="002D2D59">
        <w:t>Praw</w:t>
      </w:r>
      <w:r w:rsidR="00C84D5F" w:rsidRPr="002D2D59">
        <w:t>o Farmaceutyczne</w:t>
      </w:r>
      <w:r w:rsidR="00226DF1" w:rsidRPr="002D2D59">
        <w:t>, a także z Protokołem Badania Klinicznego</w:t>
      </w:r>
      <w:r w:rsidR="005E3284" w:rsidRPr="002D2D59">
        <w:t>.</w:t>
      </w:r>
    </w:p>
    <w:p w14:paraId="49335EC8" w14:textId="1FC0C10C" w:rsidR="00113B2D" w:rsidRPr="002D2D59" w:rsidRDefault="036C0912" w:rsidP="00106AF3">
      <w:pPr>
        <w:pStyle w:val="Lista1"/>
        <w:numPr>
          <w:ilvl w:val="0"/>
          <w:numId w:val="0"/>
        </w:numPr>
        <w:ind w:left="714"/>
      </w:pPr>
      <w:r w:rsidRPr="002D2D59">
        <w:t xml:space="preserve">Monitorowanie </w:t>
      </w:r>
      <w:r w:rsidR="52BECA04" w:rsidRPr="002D2D59">
        <w:t xml:space="preserve">w </w:t>
      </w:r>
      <w:r w:rsidRPr="002D2D59">
        <w:t>opar</w:t>
      </w:r>
      <w:r w:rsidR="2EF422C2" w:rsidRPr="002D2D59">
        <w:t>ciu o</w:t>
      </w:r>
      <w:r w:rsidRPr="002D2D59">
        <w:t xml:space="preserve"> ryzyk</w:t>
      </w:r>
      <w:r w:rsidR="4936D8B8" w:rsidRPr="002D2D59">
        <w:t>o</w:t>
      </w:r>
      <w:r w:rsidRPr="002D2D59">
        <w:t xml:space="preserve"> w badaniach klinicznych to praktyka polegająca na ocenie ryzyka związanego z badaniem klinicznym i w oparciu o nią </w:t>
      </w:r>
      <w:r w:rsidR="37AAB41B" w:rsidRPr="002D2D59">
        <w:t>z</w:t>
      </w:r>
      <w:r w:rsidR="009943CC" w:rsidRPr="002D2D59">
        <w:t>decydowanie</w:t>
      </w:r>
      <w:r w:rsidRPr="002D2D59">
        <w:t xml:space="preserve">, jaki zakres i częstotliwość monitorowania </w:t>
      </w:r>
      <w:r w:rsidRPr="002D2D59">
        <w:rPr>
          <w:strike/>
        </w:rPr>
        <w:t xml:space="preserve"> </w:t>
      </w:r>
      <w:r w:rsidR="009943CC" w:rsidRPr="002D2D59">
        <w:t xml:space="preserve"> są </w:t>
      </w:r>
      <w:r w:rsidRPr="002D2D59">
        <w:t>odpowiedni</w:t>
      </w:r>
      <w:r w:rsidR="009943CC" w:rsidRPr="002D2D59">
        <w:t>e</w:t>
      </w:r>
      <w:r w:rsidR="00226DF1" w:rsidRPr="002D2D59">
        <w:t>, by zapewnić realizacje celów monitorowania</w:t>
      </w:r>
      <w:r w:rsidR="008C6C75" w:rsidRPr="002D2D59">
        <w:t>.</w:t>
      </w:r>
    </w:p>
    <w:p w14:paraId="146F5E9B" w14:textId="504CCE9C" w:rsidR="00113B2D" w:rsidRPr="002D2D59" w:rsidRDefault="036C0912" w:rsidP="00106AF3">
      <w:pPr>
        <w:pStyle w:val="Lista1"/>
        <w:numPr>
          <w:ilvl w:val="0"/>
          <w:numId w:val="0"/>
        </w:numPr>
        <w:ind w:left="714"/>
      </w:pPr>
      <w:r w:rsidRPr="002D2D59">
        <w:t>W podejściu opartym na ryzyku, w zależności od strategii, weryfikacja dokumentacji źródłowej może zostać przeprowadzona tylko w odniesieniu do określonych danych.</w:t>
      </w:r>
      <w:r w:rsidR="002F149B">
        <w:t xml:space="preserve"> </w:t>
      </w:r>
      <w:r w:rsidRPr="002D2D59">
        <w:t>Niektóre punkty danych mogą zostać zweryfikowane po wcześniej zdefiniowanym czynniku uruchamiającym, np. zdarzeniu występującym w ośrodku lub przy osiągnięciu określonego wskaźnika.</w:t>
      </w:r>
    </w:p>
    <w:p w14:paraId="061C1A08" w14:textId="1DACE517" w:rsidR="00EB57C5" w:rsidRPr="002D2D59" w:rsidRDefault="036C0912" w:rsidP="00106AF3">
      <w:pPr>
        <w:pStyle w:val="Lista1"/>
        <w:numPr>
          <w:ilvl w:val="0"/>
          <w:numId w:val="0"/>
        </w:numPr>
        <w:ind w:left="714"/>
      </w:pPr>
      <w:r w:rsidRPr="002D2D59">
        <w:t xml:space="preserve">Monitorowanie oparte na ryzyku może prowadzić do bardziej efektywnego wykorzystania zasobów bez obniżania jakości danych. </w:t>
      </w:r>
      <w:r w:rsidR="009943CC" w:rsidRPr="002D2D59">
        <w:t xml:space="preserve">Zamawiający </w:t>
      </w:r>
      <w:r w:rsidRPr="002D2D59">
        <w:t>zakłada również możliwość zastosowania monitoring</w:t>
      </w:r>
      <w:r w:rsidR="00BC460C" w:rsidRPr="002D2D59">
        <w:t>u centralnego,</w:t>
      </w:r>
      <w:r w:rsidRPr="002D2D59">
        <w:t xml:space="preserve"> z wykorzystaniem metodologii statystycznej do monitorowania jakości przebiegu badania i uzyskiwanych danych.</w:t>
      </w:r>
    </w:p>
    <w:p w14:paraId="555D7319" w14:textId="2773F6CE" w:rsidR="008419FF" w:rsidRPr="002D2D59" w:rsidRDefault="005A02C4" w:rsidP="00106AF3">
      <w:pPr>
        <w:pStyle w:val="Lista1"/>
        <w:rPr>
          <w:rFonts w:eastAsia="Calibri"/>
        </w:rPr>
      </w:pPr>
      <w:r w:rsidRPr="002D2D59">
        <w:rPr>
          <w:b/>
          <w:bCs/>
        </w:rPr>
        <w:t>Przygotowanie i p</w:t>
      </w:r>
      <w:r w:rsidR="008419FF" w:rsidRPr="002D2D59">
        <w:rPr>
          <w:b/>
          <w:bCs/>
        </w:rPr>
        <w:t xml:space="preserve">rzeprowadzenie </w:t>
      </w:r>
      <w:r w:rsidR="009B4313" w:rsidRPr="002D2D59">
        <w:rPr>
          <w:b/>
          <w:bCs/>
        </w:rPr>
        <w:t xml:space="preserve">13 </w:t>
      </w:r>
      <w:r w:rsidR="008419FF" w:rsidRPr="002D2D59">
        <w:rPr>
          <w:b/>
          <w:bCs/>
        </w:rPr>
        <w:t xml:space="preserve">wizyt </w:t>
      </w:r>
      <w:r w:rsidR="00757FC3" w:rsidRPr="002D2D59">
        <w:rPr>
          <w:b/>
          <w:bCs/>
        </w:rPr>
        <w:t>kwalifikujących</w:t>
      </w:r>
      <w:r w:rsidR="00757FC3" w:rsidRPr="002D2D59">
        <w:t xml:space="preserve"> oraz </w:t>
      </w:r>
      <w:r w:rsidR="008419FF" w:rsidRPr="002D2D59">
        <w:t xml:space="preserve">inicjujących badanie we wskazanych </w:t>
      </w:r>
      <w:r w:rsidR="002804E6" w:rsidRPr="002D2D59">
        <w:t xml:space="preserve">przez </w:t>
      </w:r>
      <w:r w:rsidR="009943CC" w:rsidRPr="002D2D59">
        <w:t xml:space="preserve">Zamawiającego </w:t>
      </w:r>
      <w:r w:rsidR="008419FF" w:rsidRPr="002D2D59">
        <w:t>ośrodkach</w:t>
      </w:r>
      <w:r w:rsidR="002804E6" w:rsidRPr="002D2D59">
        <w:t xml:space="preserve"> na terenie Polski w trakcie realizacji badania</w:t>
      </w:r>
      <w:r w:rsidRPr="002D2D59">
        <w:t>, wraz z opracowaniem dokumentacji z przeprowadzonych wizyt</w:t>
      </w:r>
      <w:r w:rsidR="009B4313" w:rsidRPr="002D2D59">
        <w:t xml:space="preserve"> - raportu z wizyty,</w:t>
      </w:r>
      <w:r w:rsidR="64C44633" w:rsidRPr="002D2D59">
        <w:t xml:space="preserve"> i przekazaniem jej </w:t>
      </w:r>
      <w:r w:rsidR="009943CC" w:rsidRPr="002D2D59">
        <w:t>Zamawiającemu.</w:t>
      </w:r>
    </w:p>
    <w:p w14:paraId="64700DE4" w14:textId="23A68F99" w:rsidR="00757FC3" w:rsidRPr="002D2D59" w:rsidRDefault="00757FC3" w:rsidP="00106AF3">
      <w:pPr>
        <w:pStyle w:val="Lista1"/>
        <w:numPr>
          <w:ilvl w:val="0"/>
          <w:numId w:val="0"/>
        </w:numPr>
        <w:ind w:left="714"/>
      </w:pPr>
      <w:r w:rsidRPr="002D2D59">
        <w:t>Wizyta ewaluacyjna PSV (pre-study visit) w celu kwalifikacji ośrodka</w:t>
      </w:r>
      <w:r w:rsidR="002D0842" w:rsidRPr="002D2D59">
        <w:t xml:space="preserve"> </w:t>
      </w:r>
      <w:r w:rsidRPr="002D2D59">
        <w:t xml:space="preserve">– weryfikacji </w:t>
      </w:r>
      <w:r w:rsidR="005A02C4" w:rsidRPr="002D2D59">
        <w:t xml:space="preserve">informacji deklarowanych </w:t>
      </w:r>
      <w:r w:rsidR="2AEDB0D2" w:rsidRPr="002D2D59">
        <w:t xml:space="preserve">wcześniej przez ośrodek </w:t>
      </w:r>
      <w:r w:rsidR="005A02C4" w:rsidRPr="002D2D59">
        <w:t>w kwestionariuszu kwalifikowalności</w:t>
      </w:r>
      <w:r w:rsidR="00624D54" w:rsidRPr="002D2D59">
        <w:t xml:space="preserve"> (</w:t>
      </w:r>
      <w:r w:rsidR="00EB306D" w:rsidRPr="002D2D59">
        <w:t>z</w:t>
      </w:r>
      <w:r w:rsidR="00624D54" w:rsidRPr="002D2D59">
        <w:t>ależnie od momentu, w którym zostanie zawarta umowa z Wykonawcą, Zamawiający zapewni kwestionariusze i wyśle je we własnym zakresie, ale dopuszcza także możliwość konsultacji kwestionariuszy z Wykonawcą i wysłanie ich przez Wykonawcę, jeżeli umowa zostanie zawarta przed rozpoczęciem kwalifikacji ośrodków)</w:t>
      </w:r>
      <w:r w:rsidR="005A02C4" w:rsidRPr="002D2D59">
        <w:t>.</w:t>
      </w:r>
      <w:r w:rsidR="7A3113FE" w:rsidRPr="002D2D59">
        <w:rPr>
          <w:color w:val="00B050"/>
        </w:rPr>
        <w:t xml:space="preserve"> </w:t>
      </w:r>
      <w:r w:rsidR="7A3113FE" w:rsidRPr="002D2D59">
        <w:t>Wizyta powinna być zaplanowana w sposób umożliwiający uczestniczenie w niej wszystkim potencjalnym członkom zespołu badawczego.</w:t>
      </w:r>
      <w:r w:rsidR="4F975944" w:rsidRPr="002D2D59">
        <w:t xml:space="preserve"> </w:t>
      </w:r>
      <w:r w:rsidR="7A3113FE" w:rsidRPr="002D2D59">
        <w:t xml:space="preserve">Podczas wizyty Monitor dokonuje weryfikacji </w:t>
      </w:r>
      <w:r w:rsidR="00CC3A81" w:rsidRPr="002D2D59">
        <w:t>o</w:t>
      </w:r>
      <w:r w:rsidR="7A3113FE" w:rsidRPr="002D2D59">
        <w:t>środka</w:t>
      </w:r>
      <w:r w:rsidR="05BF180F" w:rsidRPr="002D2D59">
        <w:t xml:space="preserve"> pod kątem możliwości przeprowadzenia w nim </w:t>
      </w:r>
      <w:r w:rsidR="05BF180F" w:rsidRPr="002D2D59">
        <w:lastRenderedPageBreak/>
        <w:t>badania klinicznego</w:t>
      </w:r>
      <w:r w:rsidR="7A3113FE" w:rsidRPr="002D2D59">
        <w:t xml:space="preserve"> i omawia podstawowe założenia protokołu badania, w szczególności procesu rekrutacji potencjalnych uczestników.</w:t>
      </w:r>
      <w:r w:rsidR="3C84A285" w:rsidRPr="002D2D59">
        <w:t xml:space="preserve"> </w:t>
      </w:r>
      <w:r w:rsidR="7A3113FE" w:rsidRPr="002D2D59">
        <w:t>W uzasadnionych</w:t>
      </w:r>
      <w:r w:rsidR="00297E46" w:rsidRPr="002D2D59">
        <w:t>, zaakceptowanych przez Wykonawcę</w:t>
      </w:r>
      <w:r w:rsidR="7A3113FE" w:rsidRPr="002D2D59">
        <w:t xml:space="preserve"> przypadkach</w:t>
      </w:r>
      <w:r w:rsidR="00CC3A81" w:rsidRPr="002D2D59">
        <w:t>,</w:t>
      </w:r>
      <w:r w:rsidR="7A3113FE" w:rsidRPr="002D2D59">
        <w:t xml:space="preserve"> wizyta kwalifikacyjna może być prowadzona w połączeniu z wizytą inicjującą</w:t>
      </w:r>
      <w:r w:rsidR="325C5A44" w:rsidRPr="002D2D59">
        <w:t xml:space="preserve">. </w:t>
      </w:r>
      <w:r w:rsidR="16485C9F" w:rsidRPr="002D2D59">
        <w:t xml:space="preserve"> Podczas wizyty </w:t>
      </w:r>
      <w:r w:rsidR="759ACF37" w:rsidRPr="002D2D59">
        <w:t xml:space="preserve">kwalifikującej </w:t>
      </w:r>
      <w:r w:rsidR="00AF4441" w:rsidRPr="002D2D59">
        <w:t xml:space="preserve">co najmniej </w:t>
      </w:r>
      <w:r w:rsidR="759ACF37" w:rsidRPr="002D2D59">
        <w:t xml:space="preserve">weryfikowane jest </w:t>
      </w:r>
      <w:r w:rsidR="16485C9F" w:rsidRPr="002D2D59">
        <w:t>miejsce przechowywania dokumentacji badania,</w:t>
      </w:r>
      <w:r w:rsidR="54ED41D0" w:rsidRPr="002D2D59">
        <w:t xml:space="preserve"> </w:t>
      </w:r>
      <w:r w:rsidR="16485C9F" w:rsidRPr="002D2D59">
        <w:t>miejsce przechowywania badanego produktu leczniczego,</w:t>
      </w:r>
      <w:r w:rsidR="48B21D13" w:rsidRPr="002D2D59">
        <w:t xml:space="preserve"> </w:t>
      </w:r>
      <w:r w:rsidR="16485C9F" w:rsidRPr="002D2D59">
        <w:t>miejsce pracy monitora podczas wizyt w Ośrodku,</w:t>
      </w:r>
      <w:r w:rsidR="2F522A42" w:rsidRPr="002D2D59">
        <w:t xml:space="preserve"> </w:t>
      </w:r>
      <w:r w:rsidR="16485C9F" w:rsidRPr="002D2D59">
        <w:t>obszary badań specjalistycznych (jeśli zasadne)</w:t>
      </w:r>
      <w:r w:rsidR="3AFB0918" w:rsidRPr="002D2D59">
        <w:t>.</w:t>
      </w:r>
    </w:p>
    <w:p w14:paraId="2471446B" w14:textId="07B9CD69" w:rsidR="0A297BA9" w:rsidRPr="002F149B" w:rsidRDefault="00AF4441" w:rsidP="00106AF3">
      <w:pPr>
        <w:pStyle w:val="Lista1"/>
        <w:numPr>
          <w:ilvl w:val="0"/>
          <w:numId w:val="0"/>
        </w:numPr>
        <w:ind w:left="714"/>
      </w:pPr>
      <w:r w:rsidRPr="002D2D59">
        <w:t>W zakres czynności realizowanych podczas wizyty kwalifikującej mogą wejść również inne niezbędne działania, w tym działania zaproponowane przez Wykonawcę (takie działania podlegają akceptacji Zamawiającego).</w:t>
      </w:r>
    </w:p>
    <w:p w14:paraId="7417928A" w14:textId="47DFA1EB" w:rsidR="005A02C4" w:rsidRPr="002D2D59" w:rsidRDefault="005A02C4" w:rsidP="00106AF3">
      <w:pPr>
        <w:pStyle w:val="Lista1"/>
        <w:numPr>
          <w:ilvl w:val="0"/>
          <w:numId w:val="0"/>
        </w:numPr>
        <w:ind w:left="714"/>
      </w:pPr>
      <w:r w:rsidRPr="002D2D59">
        <w:rPr>
          <w:b/>
          <w:bCs/>
        </w:rPr>
        <w:t>Wizyta inicjująca (SIV)</w:t>
      </w:r>
      <w:r w:rsidRPr="002D2D59">
        <w:t xml:space="preserve"> przeprowadzana </w:t>
      </w:r>
      <w:r w:rsidR="278C07A9" w:rsidRPr="002D2D59">
        <w:t>jest</w:t>
      </w:r>
      <w:r w:rsidRPr="002D2D59">
        <w:t xml:space="preserve"> aby potwierdzić gotowość do rozpoczęcia badania, wyposażenie ośrodka, wyjaśnić obowiązujące przepisy i wymagania protokołu, a także aby przeprowadzić wszystkie niezbędne szkolenia personelu.</w:t>
      </w:r>
      <w:r w:rsidR="00907501" w:rsidRPr="002D2D59">
        <w:t xml:space="preserve"> </w:t>
      </w:r>
      <w:r w:rsidR="2B29DE5A" w:rsidRPr="002D2D59">
        <w:t>Wizyta inicjująca powinna spełniać następujące cele:</w:t>
      </w:r>
    </w:p>
    <w:p w14:paraId="5C1E5325" w14:textId="6BC44E83" w:rsidR="005A02C4" w:rsidRPr="002D2D59" w:rsidRDefault="2B29DE5A" w:rsidP="00106AF3">
      <w:pPr>
        <w:pStyle w:val="Akapitzlist"/>
        <w:numPr>
          <w:ilvl w:val="0"/>
          <w:numId w:val="13"/>
        </w:numPr>
        <w:spacing w:after="0"/>
        <w:ind w:left="1276"/>
        <w:rPr>
          <w:rFonts w:eastAsia="Calibri" w:cstheme="minorHAnsi"/>
          <w:szCs w:val="24"/>
        </w:rPr>
      </w:pPr>
      <w:r w:rsidRPr="002D2D59">
        <w:rPr>
          <w:rFonts w:eastAsia="Calibri" w:cstheme="minorHAnsi"/>
          <w:szCs w:val="24"/>
        </w:rPr>
        <w:t>Przekazanie dokumentacji badania Akt Badacza najpóźniej w dniu wizyty inicjującej,</w:t>
      </w:r>
    </w:p>
    <w:p w14:paraId="5031CD78" w14:textId="1E031E9F" w:rsidR="005A02C4" w:rsidRPr="002D2D59" w:rsidRDefault="2B29DE5A" w:rsidP="00106AF3">
      <w:pPr>
        <w:pStyle w:val="Akapitzlist"/>
        <w:numPr>
          <w:ilvl w:val="0"/>
          <w:numId w:val="12"/>
        </w:numPr>
        <w:spacing w:after="0"/>
        <w:ind w:left="1276"/>
        <w:rPr>
          <w:rFonts w:eastAsia="Calibri" w:cstheme="minorHAnsi"/>
          <w:szCs w:val="24"/>
        </w:rPr>
      </w:pPr>
      <w:r w:rsidRPr="002D2D59">
        <w:rPr>
          <w:rFonts w:eastAsia="Calibri" w:cstheme="minorHAnsi"/>
          <w:szCs w:val="24"/>
        </w:rPr>
        <w:t>przeprowadzenie szkolenia zespołu badawczego w zakresie badanego produktu, protokołu badania, procedur badawczych, zbierania danych oraz nadzoru nad bezpieczeństwem uczestników badania,</w:t>
      </w:r>
    </w:p>
    <w:p w14:paraId="6248B888" w14:textId="36200F9E" w:rsidR="005A02C4" w:rsidRPr="002D2D59" w:rsidRDefault="2B29DE5A" w:rsidP="00106AF3">
      <w:pPr>
        <w:pStyle w:val="Akapitzlist"/>
        <w:numPr>
          <w:ilvl w:val="0"/>
          <w:numId w:val="11"/>
        </w:numPr>
        <w:spacing w:after="0"/>
        <w:ind w:left="1276"/>
        <w:rPr>
          <w:rFonts w:eastAsia="Calibri" w:cstheme="minorHAnsi"/>
          <w:szCs w:val="24"/>
        </w:rPr>
      </w:pPr>
      <w:r w:rsidRPr="002D2D59">
        <w:rPr>
          <w:rFonts w:eastAsia="Calibri" w:cstheme="minorHAnsi"/>
          <w:szCs w:val="24"/>
        </w:rPr>
        <w:t xml:space="preserve">Dostarczenie Badaczom wszelkich niezbędnych informacji z zakresu zasad Dobrej Praktyki Klinicznej (GCP), regulacji prawnych dot. prowadzenia badań klinicznych oraz niezbędnych informacji dot. obowiązków </w:t>
      </w:r>
      <w:r w:rsidR="00AB60A7" w:rsidRPr="002D2D59">
        <w:rPr>
          <w:rFonts w:eastAsia="Calibri" w:cstheme="minorHAnsi"/>
          <w:szCs w:val="24"/>
        </w:rPr>
        <w:t>Zamawiającego</w:t>
      </w:r>
      <w:r w:rsidRPr="002D2D59">
        <w:rPr>
          <w:rFonts w:eastAsia="Calibri" w:cstheme="minorHAnsi"/>
          <w:szCs w:val="24"/>
        </w:rPr>
        <w:t xml:space="preserve"> w tym monitorowania badania, </w:t>
      </w:r>
    </w:p>
    <w:p w14:paraId="4E1D9E99" w14:textId="2C03EC2C" w:rsidR="005A02C4" w:rsidRPr="002D2D59" w:rsidRDefault="2B29DE5A" w:rsidP="00106AF3">
      <w:pPr>
        <w:pStyle w:val="Akapitzlist"/>
        <w:numPr>
          <w:ilvl w:val="0"/>
          <w:numId w:val="10"/>
        </w:numPr>
        <w:spacing w:after="0"/>
        <w:ind w:left="1276"/>
        <w:rPr>
          <w:rFonts w:eastAsia="Calibri" w:cstheme="minorHAnsi"/>
          <w:szCs w:val="24"/>
        </w:rPr>
      </w:pPr>
      <w:r w:rsidRPr="002D2D59">
        <w:rPr>
          <w:rFonts w:eastAsia="Calibri" w:cstheme="minorHAnsi"/>
          <w:szCs w:val="24"/>
        </w:rPr>
        <w:t xml:space="preserve">Ustalenie obowiązków poszczególnych członków zespołu badawczego, uzgodnienie kanałów komunikacji pomiędzy zespołem badawczym a </w:t>
      </w:r>
      <w:r w:rsidR="00AB60A7" w:rsidRPr="002D2D59">
        <w:rPr>
          <w:rFonts w:eastAsia="Calibri" w:cstheme="minorHAnsi"/>
          <w:szCs w:val="24"/>
        </w:rPr>
        <w:t>Zamawiającym</w:t>
      </w:r>
      <w:r w:rsidRPr="002D2D59">
        <w:rPr>
          <w:rFonts w:eastAsia="Calibri" w:cstheme="minorHAnsi"/>
          <w:szCs w:val="24"/>
        </w:rPr>
        <w:t xml:space="preserve">, </w:t>
      </w:r>
    </w:p>
    <w:p w14:paraId="0EF8F18A" w14:textId="17E406D9" w:rsidR="005A02C4" w:rsidRPr="002D2D59" w:rsidRDefault="2B29DE5A" w:rsidP="00106AF3">
      <w:pPr>
        <w:pStyle w:val="Akapitzlist"/>
        <w:numPr>
          <w:ilvl w:val="0"/>
          <w:numId w:val="9"/>
        </w:numPr>
        <w:spacing w:after="0"/>
        <w:ind w:left="1276"/>
        <w:rPr>
          <w:rFonts w:eastAsia="Calibri" w:cstheme="minorHAnsi"/>
          <w:szCs w:val="24"/>
        </w:rPr>
      </w:pPr>
      <w:r w:rsidRPr="002D2D59">
        <w:rPr>
          <w:rFonts w:eastAsia="Calibri" w:cstheme="minorHAnsi"/>
          <w:szCs w:val="24"/>
        </w:rPr>
        <w:t>Skompletowanie dokumentów dodatkowych z Ośrodka potrzebnych do przeprowadzenia badania (wewnętrzne procedury i dokumenty Ośrodka dedykowane do przeprowadzenia badania),</w:t>
      </w:r>
    </w:p>
    <w:p w14:paraId="3C3BCA22" w14:textId="5045FD87" w:rsidR="0A297BA9" w:rsidRPr="002F149B" w:rsidRDefault="2B29DE5A" w:rsidP="00106AF3">
      <w:pPr>
        <w:pStyle w:val="Akapitzlist"/>
        <w:numPr>
          <w:ilvl w:val="0"/>
          <w:numId w:val="8"/>
        </w:numPr>
        <w:spacing w:after="0"/>
        <w:ind w:left="1276"/>
        <w:rPr>
          <w:rFonts w:eastAsia="Calibri" w:cstheme="minorHAnsi"/>
          <w:szCs w:val="24"/>
        </w:rPr>
      </w:pPr>
      <w:r w:rsidRPr="002D2D59">
        <w:rPr>
          <w:rFonts w:eastAsia="Calibri" w:cstheme="minorHAnsi"/>
          <w:szCs w:val="24"/>
        </w:rPr>
        <w:t xml:space="preserve">Ustalenie i/lub weryfikacja </w:t>
      </w:r>
      <w:r w:rsidR="00C6496D" w:rsidRPr="002D2D59">
        <w:rPr>
          <w:rFonts w:eastAsia="Calibri" w:cstheme="minorHAnsi"/>
          <w:szCs w:val="24"/>
        </w:rPr>
        <w:t>f</w:t>
      </w:r>
      <w:r w:rsidRPr="002D2D59">
        <w:rPr>
          <w:rFonts w:eastAsia="Calibri" w:cstheme="minorHAnsi"/>
          <w:szCs w:val="24"/>
        </w:rPr>
        <w:t>ormularza identyfikacji danych źródłowych</w:t>
      </w:r>
      <w:r w:rsidR="00C6496D" w:rsidRPr="002D2D59">
        <w:rPr>
          <w:rFonts w:eastAsia="Calibri" w:cstheme="minorHAnsi"/>
          <w:szCs w:val="24"/>
        </w:rPr>
        <w:t>, który wskazuje gdzie zapisywane i przechowywane są dane źródłowe, na podstawie których uzupełniane są karty obserwacji klinicznej (case report forms, CRFs)</w:t>
      </w:r>
      <w:r w:rsidR="00FC744D" w:rsidRPr="002D2D59">
        <w:rPr>
          <w:rFonts w:eastAsia="Calibri" w:cstheme="minorHAnsi"/>
          <w:szCs w:val="24"/>
        </w:rPr>
        <w:t>. Wzór formularza, o którym mowa wyżej, powstanie na etapie realizacji umowy i będzie podlegał ostatecznej akceptacji Zamawiającego.</w:t>
      </w:r>
    </w:p>
    <w:p w14:paraId="4BA825B5" w14:textId="191975A5" w:rsidR="0A297BA9" w:rsidRPr="002F149B" w:rsidRDefault="47F35285" w:rsidP="00106AF3">
      <w:pPr>
        <w:pStyle w:val="Lista1"/>
        <w:numPr>
          <w:ilvl w:val="0"/>
          <w:numId w:val="0"/>
        </w:numPr>
        <w:ind w:left="714"/>
      </w:pPr>
      <w:r w:rsidRPr="002D2D59">
        <w:t xml:space="preserve">Lista lokalizacji ośrodków, w których zamawiający </w:t>
      </w:r>
      <w:r w:rsidRPr="002D2D59">
        <w:rPr>
          <w:u w:val="single"/>
        </w:rPr>
        <w:t>zamierza</w:t>
      </w:r>
      <w:r w:rsidRPr="002D2D59">
        <w:t xml:space="preserve"> przeprowadzić badanie: Białystok, Chorzów, Gdańsk, Katowice, </w:t>
      </w:r>
      <w:r w:rsidR="6BCD0E91" w:rsidRPr="002D2D59">
        <w:t xml:space="preserve">Kraków, Lublin, Łódź, Olsztyn, Poznań, Toruń, Wałbrzych, Wrocław, Warszawa. Zamawiający </w:t>
      </w:r>
      <w:r w:rsidR="65EAAA4F" w:rsidRPr="002D2D59">
        <w:t>zastrzega sobie do zmiany w zakresie lokalizacji i liczby ośrodków.</w:t>
      </w:r>
    </w:p>
    <w:p w14:paraId="124D6DE5" w14:textId="4634FC5E" w:rsidR="005754B6" w:rsidRPr="002D2D59" w:rsidRDefault="005754B6" w:rsidP="00106AF3">
      <w:pPr>
        <w:pStyle w:val="Lista1"/>
      </w:pPr>
      <w:r w:rsidRPr="002D2D59">
        <w:rPr>
          <w:b/>
          <w:bCs/>
        </w:rPr>
        <w:t>Scentralizowane monitorowanie badania klinicznego</w:t>
      </w:r>
      <w:r w:rsidRPr="002D2D59">
        <w:t>, w oparciu o Plan Monitorowania</w:t>
      </w:r>
      <w:r w:rsidR="6F0A33B2" w:rsidRPr="002D2D59">
        <w:t xml:space="preserve">, o którym mowa w punkcie 1. niniejszego przedmiotu zamówienia </w:t>
      </w:r>
      <w:r w:rsidRPr="002D2D59">
        <w:t xml:space="preserve">(w tym przeprowadzanie dodatkowych wizyt monitorujących w ośrodku lub zdalnych, </w:t>
      </w:r>
      <w:r w:rsidRPr="002D2D59">
        <w:lastRenderedPageBreak/>
        <w:t>np. w przypadku wystąpieni</w:t>
      </w:r>
      <w:r w:rsidR="00757FC3" w:rsidRPr="002D2D59">
        <w:t>a</w:t>
      </w:r>
      <w:r w:rsidRPr="002D2D59">
        <w:t xml:space="preserve"> zdarzeń niepożądanych) – bieżący nadzór i weryfikacja danych, zastosowanie elektronicznych narzędzi do kontroli zdalnej dokumentacji i jakości danych w badaniu. Comiesięczne </w:t>
      </w:r>
      <w:r w:rsidR="0B9F68DA" w:rsidRPr="002D2D59">
        <w:t xml:space="preserve">przesyłanie </w:t>
      </w:r>
      <w:r w:rsidRPr="002D2D59">
        <w:t>raport</w:t>
      </w:r>
      <w:r w:rsidR="4B9340AA" w:rsidRPr="002D2D59">
        <w:t>u</w:t>
      </w:r>
      <w:r w:rsidRPr="002D2D59">
        <w:t xml:space="preserve"> i analizy</w:t>
      </w:r>
      <w:r w:rsidR="4A5CC852" w:rsidRPr="002D2D59">
        <w:t xml:space="preserve"> przebiegu badania </w:t>
      </w:r>
      <w:r w:rsidR="03760244" w:rsidRPr="002D2D59">
        <w:t xml:space="preserve">do </w:t>
      </w:r>
      <w:r w:rsidR="009B4313" w:rsidRPr="002D2D59">
        <w:t xml:space="preserve">Zamawiającego </w:t>
      </w:r>
      <w:r w:rsidR="03760244" w:rsidRPr="002D2D59">
        <w:t xml:space="preserve"> w formie mailowej</w:t>
      </w:r>
      <w:r w:rsidR="009B4313" w:rsidRPr="002D2D59">
        <w:t>, na wskazane po zawarciu umowy przez Zamawiającego</w:t>
      </w:r>
      <w:r w:rsidR="00E94AE5" w:rsidRPr="002D2D59">
        <w:t xml:space="preserve"> (w formie komunikacji mailowej)</w:t>
      </w:r>
      <w:r w:rsidR="009B4313" w:rsidRPr="002D2D59">
        <w:t xml:space="preserve"> adresy mailowe. </w:t>
      </w:r>
      <w:r w:rsidR="00AF1727" w:rsidRPr="002D2D59">
        <w:t>Przeprowadzenie wizyt dodatkowych odbywa się na wniosek Zamawiającego. Wykonawca musi podjąć działania w tym zakresie.</w:t>
      </w:r>
    </w:p>
    <w:p w14:paraId="392AB215" w14:textId="00C2EF65" w:rsidR="005A02C4" w:rsidRPr="002D2D59" w:rsidRDefault="005A02C4" w:rsidP="00106AF3">
      <w:pPr>
        <w:pStyle w:val="Lista1"/>
        <w:numPr>
          <w:ilvl w:val="0"/>
          <w:numId w:val="0"/>
        </w:numPr>
        <w:ind w:left="714"/>
      </w:pPr>
      <w:r w:rsidRPr="002D2D59">
        <w:t>W badaniu planowan</w:t>
      </w:r>
      <w:r w:rsidR="7D08BA5C" w:rsidRPr="002D2D59">
        <w:t>a</w:t>
      </w:r>
      <w:r w:rsidRPr="002D2D59">
        <w:t xml:space="preserve"> jest częściow</w:t>
      </w:r>
      <w:r w:rsidR="388170E9" w:rsidRPr="002D2D59">
        <w:t xml:space="preserve">a weryfikacja danych źródłowych </w:t>
      </w:r>
      <w:r w:rsidRPr="002D2D59">
        <w:t>SDV</w:t>
      </w:r>
      <w:r w:rsidR="0625865E" w:rsidRPr="002D2D59">
        <w:t xml:space="preserve"> (source data verification)</w:t>
      </w:r>
      <w:r w:rsidRPr="002D2D59">
        <w:t xml:space="preserve"> opart</w:t>
      </w:r>
      <w:r w:rsidR="45429FC0" w:rsidRPr="002D2D59">
        <w:t>a</w:t>
      </w:r>
      <w:r w:rsidRPr="002D2D59">
        <w:t xml:space="preserve"> o analizę ryzyka i częstość występowania predefiniowanych zdarzeń. Planowanie wizyt odbywać się będzie na zasadzie </w:t>
      </w:r>
      <w:r w:rsidR="2E898919" w:rsidRPr="002D2D59">
        <w:t>bieżącej oceny ryzyka</w:t>
      </w:r>
      <w:r w:rsidR="00CD22DC" w:rsidRPr="002D2D59">
        <w:t xml:space="preserve">. Plany wizyt na kolejne tygodnie raportowane będą do </w:t>
      </w:r>
      <w:r w:rsidR="00AB60A7" w:rsidRPr="002D2D59">
        <w:t xml:space="preserve">Zamawiającego </w:t>
      </w:r>
      <w:r w:rsidR="00CD22DC" w:rsidRPr="002D2D59">
        <w:t>na cyklicznych telekonferencjach</w:t>
      </w:r>
      <w:r w:rsidR="079AF79A" w:rsidRPr="002D2D59">
        <w:t xml:space="preserve"> (przy czym spotkania będą organizowane nie rzadziej niż co 3 tygodnie)</w:t>
      </w:r>
      <w:r w:rsidR="00CD22DC" w:rsidRPr="002D2D59">
        <w:t>.</w:t>
      </w:r>
    </w:p>
    <w:p w14:paraId="559FFCCB" w14:textId="5166AEDC" w:rsidR="00226238" w:rsidRPr="002D2D59" w:rsidRDefault="00226238" w:rsidP="00106AF3">
      <w:pPr>
        <w:pStyle w:val="Lista1"/>
        <w:numPr>
          <w:ilvl w:val="0"/>
          <w:numId w:val="0"/>
        </w:numPr>
        <w:ind w:left="714"/>
        <w:rPr>
          <w:rFonts w:eastAsia="Calibri"/>
        </w:rPr>
      </w:pPr>
      <w:r w:rsidRPr="002D2D59">
        <w:t>Przedmiot zamówienia obejmuje także wszelkie działania pomiędzy wizytami, które związane są z zapewnieniem jakości i prowadzeniem badania w poszczególnych ośrodkach</w:t>
      </w:r>
      <w:r w:rsidR="005E3284" w:rsidRPr="002D2D59">
        <w:t>,</w:t>
      </w:r>
      <w:r w:rsidRPr="002D2D59">
        <w:t xml:space="preserve"> w tym </w:t>
      </w:r>
      <w:r w:rsidR="7A5284BF" w:rsidRPr="002D2D59">
        <w:t>aktualizacja podstawowej dokumentacji Badacza</w:t>
      </w:r>
      <w:r w:rsidR="00654D72" w:rsidRPr="002D2D59">
        <w:t xml:space="preserve"> (akta badacza</w:t>
      </w:r>
      <w:r w:rsidR="005E3284" w:rsidRPr="002D2D59">
        <w:t>, Investigator Site File, ISF</w:t>
      </w:r>
      <w:r w:rsidR="00654D72" w:rsidRPr="002D2D59">
        <w:t>)</w:t>
      </w:r>
      <w:r w:rsidR="7A5284BF" w:rsidRPr="002D2D59">
        <w:t xml:space="preserve">, </w:t>
      </w:r>
      <w:r w:rsidRPr="002D2D59">
        <w:t>bieżąca komunikacja z ośrodk</w:t>
      </w:r>
      <w:r w:rsidR="004E2295" w:rsidRPr="002D2D59">
        <w:t>ami,</w:t>
      </w:r>
      <w:r w:rsidRPr="002D2D59">
        <w:t xml:space="preserve"> </w:t>
      </w:r>
      <w:r w:rsidR="002766FB" w:rsidRPr="002D2D59">
        <w:t>Zamawiającym</w:t>
      </w:r>
      <w:r w:rsidRPr="002D2D59">
        <w:t xml:space="preserve">, </w:t>
      </w:r>
      <w:r w:rsidR="006F57A6" w:rsidRPr="002D2D59">
        <w:t>pozostałymi podmiotami zaangażowanymi w badanie</w:t>
      </w:r>
      <w:r w:rsidRPr="002D2D59">
        <w:t>)</w:t>
      </w:r>
      <w:r w:rsidR="004E2295" w:rsidRPr="002D2D59">
        <w:t>.</w:t>
      </w:r>
    </w:p>
    <w:p w14:paraId="0E833578" w14:textId="4DCA5B7F" w:rsidR="00CD22DC" w:rsidRPr="002D2D59" w:rsidRDefault="00CD22DC" w:rsidP="00106AF3">
      <w:pPr>
        <w:pStyle w:val="Normalny2"/>
      </w:pPr>
      <w:r w:rsidRPr="002D2D59">
        <w:t>Ramowy harmonogram wizyt monitorujących w badaniu: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  <w:tblCaption w:val="Tabela 1"/>
        <w:tblDescription w:val="Ramowy harmonogram wizyt monitorujących w badaniu"/>
      </w:tblPr>
      <w:tblGrid>
        <w:gridCol w:w="1979"/>
        <w:gridCol w:w="2835"/>
        <w:gridCol w:w="3964"/>
      </w:tblGrid>
      <w:tr w:rsidR="00CD22DC" w:rsidRPr="002D2D59" w14:paraId="42E9EA99" w14:textId="77777777" w:rsidTr="00106AF3">
        <w:trPr>
          <w:tblHeader/>
        </w:trPr>
        <w:tc>
          <w:tcPr>
            <w:tcW w:w="1979" w:type="dxa"/>
          </w:tcPr>
          <w:p w14:paraId="74502DFF" w14:textId="60F5D51B" w:rsidR="00CD22DC" w:rsidRPr="002D2D59" w:rsidRDefault="00CD22DC" w:rsidP="00106AF3">
            <w:pPr>
              <w:contextualSpacing/>
              <w:rPr>
                <w:rFonts w:eastAsia="Calibri" w:cstheme="minorHAnsi"/>
                <w:bCs/>
                <w:szCs w:val="24"/>
              </w:rPr>
            </w:pPr>
            <w:r w:rsidRPr="002D2D59">
              <w:rPr>
                <w:rFonts w:eastAsia="Calibri" w:cstheme="minorHAnsi"/>
                <w:bCs/>
                <w:szCs w:val="24"/>
              </w:rPr>
              <w:t>Faza badania</w:t>
            </w:r>
          </w:p>
        </w:tc>
        <w:tc>
          <w:tcPr>
            <w:tcW w:w="2835" w:type="dxa"/>
          </w:tcPr>
          <w:p w14:paraId="43019742" w14:textId="72929097" w:rsidR="00CD22DC" w:rsidRPr="002D2D59" w:rsidRDefault="00CD22DC" w:rsidP="00106AF3">
            <w:pPr>
              <w:contextualSpacing/>
              <w:rPr>
                <w:rFonts w:eastAsia="Calibri" w:cstheme="minorHAnsi"/>
                <w:bCs/>
                <w:szCs w:val="24"/>
              </w:rPr>
            </w:pPr>
            <w:r w:rsidRPr="002D2D59">
              <w:rPr>
                <w:rFonts w:eastAsia="Calibri" w:cstheme="minorHAnsi"/>
                <w:bCs/>
                <w:szCs w:val="24"/>
              </w:rPr>
              <w:t>Cel wizyty</w:t>
            </w:r>
          </w:p>
        </w:tc>
        <w:tc>
          <w:tcPr>
            <w:tcW w:w="3964" w:type="dxa"/>
          </w:tcPr>
          <w:p w14:paraId="2F149020" w14:textId="4E5A7C91" w:rsidR="00CD22DC" w:rsidRPr="002D2D59" w:rsidRDefault="00CD22DC" w:rsidP="00106AF3">
            <w:pPr>
              <w:contextualSpacing/>
              <w:rPr>
                <w:rFonts w:eastAsia="Calibri" w:cstheme="minorHAnsi"/>
                <w:bCs/>
                <w:szCs w:val="24"/>
              </w:rPr>
            </w:pPr>
            <w:r w:rsidRPr="002D2D59">
              <w:rPr>
                <w:rFonts w:eastAsia="Calibri" w:cstheme="minorHAnsi"/>
                <w:bCs/>
                <w:szCs w:val="24"/>
              </w:rPr>
              <w:t>Ramy czasowe lub liczba wizyt</w:t>
            </w:r>
          </w:p>
        </w:tc>
      </w:tr>
      <w:tr w:rsidR="00CD22DC" w:rsidRPr="002D2D59" w14:paraId="345E9959" w14:textId="77777777" w:rsidTr="00106AF3">
        <w:tc>
          <w:tcPr>
            <w:tcW w:w="1979" w:type="dxa"/>
            <w:vMerge w:val="restart"/>
          </w:tcPr>
          <w:p w14:paraId="22D9DAA8" w14:textId="05C5FAB4" w:rsidR="00CD22DC" w:rsidRPr="002D2D59" w:rsidRDefault="00CD22DC" w:rsidP="00106AF3">
            <w:pPr>
              <w:contextualSpacing/>
              <w:rPr>
                <w:rFonts w:eastAsia="Calibri" w:cstheme="minorHAnsi"/>
                <w:bCs/>
                <w:szCs w:val="24"/>
              </w:rPr>
            </w:pPr>
            <w:r w:rsidRPr="002D2D59">
              <w:rPr>
                <w:rFonts w:eastAsia="Calibri" w:cstheme="minorHAnsi"/>
                <w:bCs/>
                <w:szCs w:val="24"/>
              </w:rPr>
              <w:t>W trakcie rekrutacji</w:t>
            </w:r>
          </w:p>
        </w:tc>
        <w:tc>
          <w:tcPr>
            <w:tcW w:w="2835" w:type="dxa"/>
          </w:tcPr>
          <w:p w14:paraId="1AA6282A" w14:textId="3780B7DC" w:rsidR="00CD22DC" w:rsidRPr="002D2D59" w:rsidRDefault="00CD22DC" w:rsidP="00106AF3">
            <w:pPr>
              <w:contextualSpacing/>
              <w:rPr>
                <w:rFonts w:eastAsia="Calibri" w:cstheme="minorHAnsi"/>
                <w:bCs/>
                <w:szCs w:val="24"/>
              </w:rPr>
            </w:pPr>
            <w:r w:rsidRPr="002D2D59">
              <w:rPr>
                <w:rFonts w:eastAsia="Calibri" w:cstheme="minorHAnsi"/>
                <w:bCs/>
                <w:szCs w:val="24"/>
              </w:rPr>
              <w:t xml:space="preserve">Włączenie pierwszych 2-3 pacjentów </w:t>
            </w:r>
          </w:p>
        </w:tc>
        <w:tc>
          <w:tcPr>
            <w:tcW w:w="3964" w:type="dxa"/>
          </w:tcPr>
          <w:p w14:paraId="55ED34C3" w14:textId="77777777" w:rsidR="00CD22DC" w:rsidRPr="002D2D59" w:rsidRDefault="00CD22DC" w:rsidP="00106AF3">
            <w:pPr>
              <w:contextualSpacing/>
              <w:rPr>
                <w:rFonts w:eastAsia="Calibri" w:cstheme="minorHAnsi"/>
                <w:bCs/>
                <w:szCs w:val="24"/>
              </w:rPr>
            </w:pPr>
            <w:r w:rsidRPr="002D2D59">
              <w:rPr>
                <w:rFonts w:eastAsia="Calibri" w:cstheme="minorHAnsi"/>
                <w:bCs/>
                <w:szCs w:val="24"/>
              </w:rPr>
              <w:t>2 tygodnie od wizyty randomizacyjnej.</w:t>
            </w:r>
          </w:p>
          <w:p w14:paraId="735F9185" w14:textId="25B041ED" w:rsidR="00CD22DC" w:rsidRPr="002D2D59" w:rsidRDefault="00CD22DC" w:rsidP="00106AF3">
            <w:pPr>
              <w:contextualSpacing/>
              <w:rPr>
                <w:rFonts w:eastAsia="Calibri" w:cstheme="minorHAnsi"/>
                <w:bCs/>
                <w:szCs w:val="24"/>
              </w:rPr>
            </w:pPr>
            <w:r w:rsidRPr="002D2D59">
              <w:rPr>
                <w:rFonts w:eastAsia="Calibri" w:cstheme="minorHAnsi"/>
                <w:bCs/>
                <w:szCs w:val="24"/>
              </w:rPr>
              <w:t>Wizyta on site</w:t>
            </w:r>
          </w:p>
        </w:tc>
      </w:tr>
      <w:tr w:rsidR="00CD22DC" w:rsidRPr="002D2D59" w14:paraId="63A4040F" w14:textId="77777777" w:rsidTr="00106AF3">
        <w:tc>
          <w:tcPr>
            <w:tcW w:w="1979" w:type="dxa"/>
            <w:vMerge/>
          </w:tcPr>
          <w:p w14:paraId="2C2DB2E4" w14:textId="77777777" w:rsidR="00CD22DC" w:rsidRPr="002D2D59" w:rsidRDefault="00CD22DC" w:rsidP="00106AF3">
            <w:pPr>
              <w:contextualSpacing/>
              <w:rPr>
                <w:rFonts w:eastAsia="Calibri" w:cstheme="minorHAnsi"/>
                <w:bCs/>
                <w:szCs w:val="24"/>
              </w:rPr>
            </w:pPr>
          </w:p>
        </w:tc>
        <w:tc>
          <w:tcPr>
            <w:tcW w:w="2835" w:type="dxa"/>
          </w:tcPr>
          <w:p w14:paraId="70349A36" w14:textId="75132072" w:rsidR="00CD22DC" w:rsidRPr="002D2D59" w:rsidRDefault="00CD22DC" w:rsidP="00106AF3">
            <w:pPr>
              <w:contextualSpacing/>
              <w:rPr>
                <w:rFonts w:eastAsia="Calibri" w:cstheme="minorHAnsi"/>
                <w:bCs/>
                <w:szCs w:val="24"/>
              </w:rPr>
            </w:pPr>
            <w:r w:rsidRPr="002D2D59">
              <w:rPr>
                <w:rFonts w:eastAsia="Calibri" w:cstheme="minorHAnsi"/>
                <w:bCs/>
                <w:szCs w:val="24"/>
              </w:rPr>
              <w:t>Rutynowe wizyty w ośrodkach</w:t>
            </w:r>
          </w:p>
        </w:tc>
        <w:tc>
          <w:tcPr>
            <w:tcW w:w="3964" w:type="dxa"/>
          </w:tcPr>
          <w:p w14:paraId="2D0CEB1A" w14:textId="3E94B3C8" w:rsidR="00CD22DC" w:rsidRPr="002D2D59" w:rsidRDefault="00CD22DC" w:rsidP="00106AF3">
            <w:pPr>
              <w:contextualSpacing/>
              <w:rPr>
                <w:rFonts w:eastAsia="Calibri" w:cstheme="minorHAnsi"/>
                <w:bCs/>
                <w:szCs w:val="24"/>
              </w:rPr>
            </w:pPr>
            <w:r w:rsidRPr="002D2D59">
              <w:rPr>
                <w:rFonts w:eastAsia="Calibri" w:cstheme="minorHAnsi"/>
                <w:bCs/>
                <w:szCs w:val="24"/>
              </w:rPr>
              <w:t>Wizyty monitorujące on-site nie rzadziej niż 1 raz w roku.</w:t>
            </w:r>
          </w:p>
        </w:tc>
      </w:tr>
      <w:tr w:rsidR="00CD22DC" w:rsidRPr="002D2D59" w14:paraId="3739F44C" w14:textId="77777777" w:rsidTr="00106AF3">
        <w:tc>
          <w:tcPr>
            <w:tcW w:w="1979" w:type="dxa"/>
            <w:vMerge/>
          </w:tcPr>
          <w:p w14:paraId="263C9575" w14:textId="77777777" w:rsidR="00CD22DC" w:rsidRPr="002D2D59" w:rsidRDefault="00CD22DC" w:rsidP="00106AF3">
            <w:pPr>
              <w:contextualSpacing/>
              <w:rPr>
                <w:rFonts w:eastAsia="Calibri" w:cstheme="minorHAnsi"/>
                <w:bCs/>
                <w:szCs w:val="24"/>
              </w:rPr>
            </w:pPr>
          </w:p>
        </w:tc>
        <w:tc>
          <w:tcPr>
            <w:tcW w:w="2835" w:type="dxa"/>
          </w:tcPr>
          <w:p w14:paraId="7D3E7374" w14:textId="06535BC3" w:rsidR="00CD22DC" w:rsidRPr="002D2D59" w:rsidRDefault="00CD22DC" w:rsidP="00106AF3">
            <w:pPr>
              <w:contextualSpacing/>
              <w:rPr>
                <w:rFonts w:eastAsia="Calibri" w:cstheme="minorHAnsi"/>
                <w:bCs/>
                <w:szCs w:val="24"/>
              </w:rPr>
            </w:pPr>
            <w:r w:rsidRPr="002D2D59">
              <w:rPr>
                <w:rFonts w:eastAsia="Calibri" w:cstheme="minorHAnsi"/>
                <w:bCs/>
                <w:szCs w:val="24"/>
              </w:rPr>
              <w:t>Wystąpienie 3 pierwszych SAE</w:t>
            </w:r>
            <w:r w:rsidR="0080593C" w:rsidRPr="002D2D59">
              <w:rPr>
                <w:rFonts w:eastAsia="Calibri" w:cstheme="minorHAnsi"/>
                <w:bCs/>
                <w:szCs w:val="24"/>
              </w:rPr>
              <w:t xml:space="preserve"> (</w:t>
            </w:r>
            <w:r w:rsidR="005E3284" w:rsidRPr="002D2D59">
              <w:rPr>
                <w:rFonts w:eastAsia="Calibri" w:cstheme="minorHAnsi"/>
                <w:bCs/>
                <w:szCs w:val="24"/>
              </w:rPr>
              <w:t>S</w:t>
            </w:r>
            <w:r w:rsidR="0080593C" w:rsidRPr="002D2D59">
              <w:rPr>
                <w:rFonts w:eastAsia="Calibri" w:cstheme="minorHAnsi"/>
                <w:bCs/>
                <w:szCs w:val="24"/>
              </w:rPr>
              <w:t>erious</w:t>
            </w:r>
            <w:r w:rsidR="005E3284" w:rsidRPr="002D2D59">
              <w:rPr>
                <w:rFonts w:eastAsia="Calibri" w:cstheme="minorHAnsi"/>
                <w:bCs/>
                <w:szCs w:val="24"/>
              </w:rPr>
              <w:t xml:space="preserve"> Adverse Event, Poważne Zdarzenie Niepożądane)</w:t>
            </w:r>
            <w:r w:rsidR="0080593C" w:rsidRPr="002D2D59">
              <w:rPr>
                <w:rFonts w:eastAsia="Calibri" w:cstheme="minorHAnsi"/>
                <w:bCs/>
                <w:szCs w:val="24"/>
              </w:rPr>
              <w:t xml:space="preserve"> </w:t>
            </w:r>
            <w:r w:rsidRPr="002D2D59">
              <w:rPr>
                <w:rFonts w:eastAsia="Calibri" w:cstheme="minorHAnsi"/>
                <w:bCs/>
                <w:szCs w:val="24"/>
              </w:rPr>
              <w:t xml:space="preserve"> w ośrodku</w:t>
            </w:r>
          </w:p>
        </w:tc>
        <w:tc>
          <w:tcPr>
            <w:tcW w:w="3964" w:type="dxa"/>
          </w:tcPr>
          <w:p w14:paraId="5FE0340E" w14:textId="4AA33983" w:rsidR="00CD22DC" w:rsidRPr="002D2D59" w:rsidRDefault="00CD22DC" w:rsidP="00106AF3">
            <w:pPr>
              <w:contextualSpacing/>
              <w:rPr>
                <w:rFonts w:eastAsia="Calibri" w:cstheme="minorHAnsi"/>
                <w:bCs/>
                <w:szCs w:val="24"/>
              </w:rPr>
            </w:pPr>
            <w:r w:rsidRPr="002D2D59">
              <w:rPr>
                <w:rFonts w:eastAsia="Calibri" w:cstheme="minorHAnsi"/>
                <w:bCs/>
                <w:szCs w:val="24"/>
              </w:rPr>
              <w:t xml:space="preserve">Wizyta monitorująca związana z bezpieczeństwem w badaniu w ciągu 2 tygodni od odnotowania </w:t>
            </w:r>
            <w:r w:rsidR="005E3284" w:rsidRPr="002D2D59">
              <w:rPr>
                <w:rFonts w:eastAsia="Calibri" w:cstheme="minorHAnsi"/>
                <w:bCs/>
                <w:szCs w:val="24"/>
              </w:rPr>
              <w:t>SAE</w:t>
            </w:r>
            <w:r w:rsidRPr="002D2D59">
              <w:rPr>
                <w:rFonts w:eastAsia="Calibri" w:cstheme="minorHAnsi"/>
                <w:bCs/>
                <w:szCs w:val="24"/>
              </w:rPr>
              <w:t>. Dopuszczalne przeprowadzenie wizyty w trybie zdalnym.</w:t>
            </w:r>
          </w:p>
        </w:tc>
      </w:tr>
      <w:tr w:rsidR="00CD22DC" w:rsidRPr="002D2D59" w14:paraId="2E6FE9D5" w14:textId="77777777" w:rsidTr="00106AF3">
        <w:tc>
          <w:tcPr>
            <w:tcW w:w="1979" w:type="dxa"/>
            <w:vMerge/>
          </w:tcPr>
          <w:p w14:paraId="455DE113" w14:textId="77777777" w:rsidR="00CD22DC" w:rsidRPr="002D2D59" w:rsidRDefault="00CD22DC" w:rsidP="00106AF3">
            <w:pPr>
              <w:contextualSpacing/>
              <w:rPr>
                <w:rFonts w:eastAsia="Calibri" w:cstheme="minorHAnsi"/>
                <w:bCs/>
                <w:szCs w:val="24"/>
              </w:rPr>
            </w:pPr>
          </w:p>
        </w:tc>
        <w:tc>
          <w:tcPr>
            <w:tcW w:w="2835" w:type="dxa"/>
          </w:tcPr>
          <w:p w14:paraId="3D906B19" w14:textId="1525530D" w:rsidR="00CD22DC" w:rsidRPr="002D2D59" w:rsidRDefault="00CD22DC" w:rsidP="00106AF3">
            <w:pPr>
              <w:contextualSpacing/>
              <w:rPr>
                <w:rFonts w:eastAsia="Calibri" w:cstheme="minorHAnsi"/>
                <w:bCs/>
                <w:szCs w:val="24"/>
              </w:rPr>
            </w:pPr>
            <w:r w:rsidRPr="002D2D59">
              <w:rPr>
                <w:rFonts w:eastAsia="Calibri" w:cstheme="minorHAnsi"/>
                <w:bCs/>
                <w:szCs w:val="24"/>
              </w:rPr>
              <w:t>Odnotowanie protocol deviation dotyczących kryteriów włączenia/wyłączenia</w:t>
            </w:r>
          </w:p>
        </w:tc>
        <w:tc>
          <w:tcPr>
            <w:tcW w:w="3964" w:type="dxa"/>
          </w:tcPr>
          <w:p w14:paraId="686965B6" w14:textId="1BD2BD08" w:rsidR="00CD22DC" w:rsidRPr="002D2D59" w:rsidRDefault="00CD22DC" w:rsidP="00106AF3">
            <w:pPr>
              <w:contextualSpacing/>
              <w:rPr>
                <w:rFonts w:eastAsia="Calibri" w:cstheme="minorHAnsi"/>
                <w:bCs/>
                <w:szCs w:val="24"/>
              </w:rPr>
            </w:pPr>
            <w:r w:rsidRPr="002D2D59">
              <w:rPr>
                <w:rFonts w:eastAsia="Calibri" w:cstheme="minorHAnsi"/>
                <w:bCs/>
                <w:szCs w:val="24"/>
              </w:rPr>
              <w:t>Wizyta monitorująca związana z bezpieczeństwem w badaniu w ciągu 2 tygodni od odnotowania zdarzenia. Dopuszczalne przeprowadzenie wizyty w trybie zdalnym.</w:t>
            </w:r>
          </w:p>
        </w:tc>
      </w:tr>
      <w:tr w:rsidR="00CD22DC" w:rsidRPr="002D2D59" w14:paraId="3067C83A" w14:textId="77777777" w:rsidTr="00106AF3">
        <w:tc>
          <w:tcPr>
            <w:tcW w:w="1979" w:type="dxa"/>
            <w:vMerge/>
          </w:tcPr>
          <w:p w14:paraId="166A6DBE" w14:textId="77777777" w:rsidR="00CD22DC" w:rsidRPr="002D2D59" w:rsidRDefault="00CD22DC" w:rsidP="00106AF3">
            <w:pPr>
              <w:contextualSpacing/>
              <w:rPr>
                <w:rFonts w:eastAsia="Calibri" w:cstheme="minorHAnsi"/>
                <w:bCs/>
                <w:szCs w:val="24"/>
              </w:rPr>
            </w:pPr>
          </w:p>
        </w:tc>
        <w:tc>
          <w:tcPr>
            <w:tcW w:w="2835" w:type="dxa"/>
          </w:tcPr>
          <w:p w14:paraId="0C00D1F1" w14:textId="1A4B31FB" w:rsidR="00CD22DC" w:rsidRPr="002D2D59" w:rsidRDefault="00CD22DC" w:rsidP="00106AF3">
            <w:pPr>
              <w:contextualSpacing/>
              <w:rPr>
                <w:rFonts w:eastAsia="Calibri" w:cstheme="minorHAnsi"/>
                <w:bCs/>
                <w:szCs w:val="24"/>
              </w:rPr>
            </w:pPr>
            <w:r w:rsidRPr="002D2D59">
              <w:rPr>
                <w:rFonts w:eastAsia="Calibri" w:cstheme="minorHAnsi"/>
                <w:bCs/>
                <w:szCs w:val="24"/>
              </w:rPr>
              <w:t>Odnotowanie protocol deviation dotyczących opóźnień w raportowaniu SAE lub innych nieprawidłowości przy zgłaszaniu SAE</w:t>
            </w:r>
          </w:p>
        </w:tc>
        <w:tc>
          <w:tcPr>
            <w:tcW w:w="3964" w:type="dxa"/>
          </w:tcPr>
          <w:p w14:paraId="1682BBB5" w14:textId="6E986E99" w:rsidR="00CD22DC" w:rsidRPr="002D2D59" w:rsidRDefault="00CD22DC" w:rsidP="00106AF3">
            <w:pPr>
              <w:contextualSpacing/>
              <w:rPr>
                <w:rFonts w:eastAsia="Calibri" w:cstheme="minorHAnsi"/>
                <w:bCs/>
                <w:szCs w:val="24"/>
              </w:rPr>
            </w:pPr>
            <w:r w:rsidRPr="002D2D59">
              <w:rPr>
                <w:rFonts w:eastAsia="Calibri" w:cstheme="minorHAnsi"/>
                <w:bCs/>
                <w:szCs w:val="24"/>
              </w:rPr>
              <w:t>Wizyta monitorująca związana z bezpieczeństwem w badaniu w ciągu 2 tygodni od odnotowania zdarzenia. Dopuszczalne przeprowadzenie wizyty w trybie zdalnym.</w:t>
            </w:r>
          </w:p>
        </w:tc>
      </w:tr>
      <w:tr w:rsidR="00CD22DC" w:rsidRPr="002D2D59" w14:paraId="6352EB62" w14:textId="77777777" w:rsidTr="00106AF3">
        <w:tc>
          <w:tcPr>
            <w:tcW w:w="1979" w:type="dxa"/>
          </w:tcPr>
          <w:p w14:paraId="187918C3" w14:textId="7548DB87" w:rsidR="00CD22DC" w:rsidRPr="002D2D59" w:rsidRDefault="00CD22DC" w:rsidP="00106AF3">
            <w:pPr>
              <w:contextualSpacing/>
              <w:rPr>
                <w:rFonts w:eastAsia="Calibri" w:cstheme="minorHAnsi"/>
                <w:bCs/>
                <w:szCs w:val="24"/>
              </w:rPr>
            </w:pPr>
            <w:r w:rsidRPr="002D2D59">
              <w:rPr>
                <w:rFonts w:eastAsia="Calibri" w:cstheme="minorHAnsi"/>
                <w:bCs/>
                <w:szCs w:val="24"/>
              </w:rPr>
              <w:lastRenderedPageBreak/>
              <w:t>Po zakończeniu fazy aktywnej rekrutacji</w:t>
            </w:r>
          </w:p>
        </w:tc>
        <w:tc>
          <w:tcPr>
            <w:tcW w:w="2835" w:type="dxa"/>
          </w:tcPr>
          <w:p w14:paraId="78B7B373" w14:textId="6102B2FE" w:rsidR="00CD22DC" w:rsidRPr="002D2D59" w:rsidRDefault="00CD22DC" w:rsidP="00106AF3">
            <w:pPr>
              <w:contextualSpacing/>
              <w:rPr>
                <w:rFonts w:eastAsia="Calibri" w:cstheme="minorHAnsi"/>
                <w:bCs/>
                <w:szCs w:val="24"/>
              </w:rPr>
            </w:pPr>
            <w:r w:rsidRPr="002D2D59">
              <w:rPr>
                <w:rFonts w:eastAsia="Calibri" w:cstheme="minorHAnsi"/>
                <w:bCs/>
                <w:szCs w:val="24"/>
              </w:rPr>
              <w:t>Rutynowe wizyty w ośrodkach z pacjentami w badaniu</w:t>
            </w:r>
          </w:p>
        </w:tc>
        <w:tc>
          <w:tcPr>
            <w:tcW w:w="3964" w:type="dxa"/>
          </w:tcPr>
          <w:p w14:paraId="3A6C2EF9" w14:textId="7EAC8738" w:rsidR="00CD22DC" w:rsidRPr="002D2D59" w:rsidRDefault="00CD22DC" w:rsidP="00106AF3">
            <w:pPr>
              <w:contextualSpacing/>
              <w:rPr>
                <w:rFonts w:eastAsia="Calibri" w:cstheme="minorHAnsi"/>
                <w:bCs/>
                <w:szCs w:val="24"/>
              </w:rPr>
            </w:pPr>
            <w:r w:rsidRPr="002D2D59">
              <w:rPr>
                <w:rFonts w:eastAsia="Calibri" w:cstheme="minorHAnsi"/>
                <w:bCs/>
                <w:szCs w:val="24"/>
              </w:rPr>
              <w:t>Wizyty monitorujące w ośrodkach, nie rzadziej niż 1 raz w roku, pod warunkiem że będą aktywni pacjenci</w:t>
            </w:r>
            <w:r w:rsidR="00E63C72" w:rsidRPr="002D2D59">
              <w:rPr>
                <w:rFonts w:eastAsia="Calibri" w:cstheme="minorHAnsi"/>
                <w:bCs/>
                <w:szCs w:val="24"/>
              </w:rPr>
              <w:t>, którzy kontynuują badanie</w:t>
            </w:r>
            <w:r w:rsidRPr="002D2D59">
              <w:rPr>
                <w:rFonts w:eastAsia="Calibri" w:cstheme="minorHAnsi"/>
                <w:bCs/>
                <w:szCs w:val="24"/>
              </w:rPr>
              <w:t xml:space="preserve">. Dopuszczalne przeprowadzenie wizyt w trybie zdalnym. </w:t>
            </w:r>
          </w:p>
        </w:tc>
      </w:tr>
    </w:tbl>
    <w:p w14:paraId="47FB27DE" w14:textId="2DC89D2C" w:rsidR="009B4313" w:rsidRPr="002D2D59" w:rsidRDefault="009B4313" w:rsidP="00106AF3">
      <w:pPr>
        <w:pStyle w:val="Lista1"/>
        <w:numPr>
          <w:ilvl w:val="0"/>
          <w:numId w:val="0"/>
        </w:numPr>
        <w:ind w:left="714"/>
      </w:pPr>
      <w:r w:rsidRPr="002D2D59">
        <w:t xml:space="preserve">Zamawiający przewiduje 65 wizyt monitorujących on-site, 130 wizyt zdalnych, a także 13 wizyt inicjujących i 13 zamykających. </w:t>
      </w:r>
    </w:p>
    <w:p w14:paraId="7386B0C1" w14:textId="0577E88E" w:rsidR="008419FF" w:rsidRPr="002D2D59" w:rsidRDefault="00226238" w:rsidP="00106AF3">
      <w:pPr>
        <w:pStyle w:val="Lista1"/>
        <w:rPr>
          <w:rFonts w:eastAsia="Calibri"/>
        </w:rPr>
      </w:pPr>
      <w:r w:rsidRPr="002D2D59">
        <w:t>Przygotowanie i p</w:t>
      </w:r>
      <w:r w:rsidR="005754B6" w:rsidRPr="002D2D59">
        <w:t xml:space="preserve">rzeprowadzenie </w:t>
      </w:r>
      <w:r w:rsidR="009B4313" w:rsidRPr="002D2D59">
        <w:t xml:space="preserve">13 </w:t>
      </w:r>
      <w:r w:rsidR="005754B6" w:rsidRPr="002D2D59">
        <w:t>wizyt zamykających ośrodki</w:t>
      </w:r>
      <w:r w:rsidR="00BD3D6F" w:rsidRPr="002D2D59">
        <w:t xml:space="preserve"> (COV)</w:t>
      </w:r>
      <w:r w:rsidRPr="002D2D59">
        <w:t>, wraz z opracowaniem dokumentacji</w:t>
      </w:r>
      <w:r w:rsidR="7470207D" w:rsidRPr="002D2D59">
        <w:t>.</w:t>
      </w:r>
      <w:bookmarkEnd w:id="2"/>
      <w:bookmarkEnd w:id="3"/>
    </w:p>
    <w:p w14:paraId="547BC44B" w14:textId="0F01C36A" w:rsidR="00BD3D6F" w:rsidRPr="002D2D59" w:rsidRDefault="00BD3D6F" w:rsidP="00106AF3">
      <w:pPr>
        <w:pStyle w:val="Lista1"/>
        <w:numPr>
          <w:ilvl w:val="0"/>
          <w:numId w:val="0"/>
        </w:numPr>
        <w:ind w:left="714"/>
      </w:pPr>
      <w:r w:rsidRPr="002D2D59">
        <w:t>Wizyta zamykająca ma być przeprowadzona, gdy wszyscy pacjenci zakończyli uczestnictwo w badaniu</w:t>
      </w:r>
      <w:r w:rsidR="79CCEDAD" w:rsidRPr="002D2D59">
        <w:t>, wszystkie dane zostały wprowadzone do eCRF, a wszystkie query zostały rozwiązane.</w:t>
      </w:r>
      <w:r w:rsidR="069A1A76" w:rsidRPr="002D2D59">
        <w:t xml:space="preserve"> </w:t>
      </w:r>
      <w:r w:rsidRPr="002D2D59">
        <w:t xml:space="preserve"> Termin będzie w przypadku każdego ośrodka uzgadniany </w:t>
      </w:r>
      <w:r w:rsidR="008D1ECF" w:rsidRPr="002D2D59">
        <w:t>z Zamawiającym</w:t>
      </w:r>
      <w:r w:rsidRPr="002D2D59">
        <w:t xml:space="preserve">. </w:t>
      </w:r>
      <w:r w:rsidR="65EC8D0E" w:rsidRPr="002D2D59">
        <w:t xml:space="preserve">Wizyta ta jest przeprowadzana po uzyskaniu informacji od </w:t>
      </w:r>
      <w:r w:rsidR="008D1ECF" w:rsidRPr="002D2D59">
        <w:t>Zamawiającego</w:t>
      </w:r>
      <w:r w:rsidR="65EC8D0E" w:rsidRPr="002D2D59">
        <w:t xml:space="preserve">, że można ją przeprowadzić. </w:t>
      </w:r>
      <w:r w:rsidR="48983A90" w:rsidRPr="002D2D59">
        <w:t>Celem wizyty zamy</w:t>
      </w:r>
      <w:r w:rsidR="008D1ECF" w:rsidRPr="002D2D59">
        <w:t>kającej jest zapewnienie</w:t>
      </w:r>
      <w:r w:rsidR="48983A90" w:rsidRPr="002D2D59">
        <w:t xml:space="preserve">, że ​​wszystkie </w:t>
      </w:r>
      <w:r w:rsidR="455DD2D1" w:rsidRPr="002D2D59">
        <w:t>aktywności</w:t>
      </w:r>
      <w:r w:rsidR="48983A90" w:rsidRPr="002D2D59">
        <w:t xml:space="preserve"> związane z badaniem klinicznym są odpowiednio uzgodnione, zarejestrowane i zgłoszone na koniec badania zgodnie z protokołem badania, obowiązującymi procedurami, odpowiednimi wymogami </w:t>
      </w:r>
      <w:r w:rsidR="005E3284" w:rsidRPr="002D2D59">
        <w:t>prawnymi (</w:t>
      </w:r>
      <w:r w:rsidR="48983A90" w:rsidRPr="002D2D59">
        <w:t>.</w:t>
      </w:r>
      <w:r w:rsidR="5A4697B4" w:rsidRPr="002D2D59">
        <w:t xml:space="preserve"> Ma również na celu zapewnienie, </w:t>
      </w:r>
      <w:r w:rsidR="48983A90" w:rsidRPr="002D2D59">
        <w:t>że wszystkie niezbędne</w:t>
      </w:r>
      <w:r w:rsidR="4B3F1D8D" w:rsidRPr="002D2D59">
        <w:t xml:space="preserve"> </w:t>
      </w:r>
      <w:r w:rsidR="48983A90" w:rsidRPr="002D2D59">
        <w:t>dokumenty są na miejscu</w:t>
      </w:r>
      <w:r w:rsidR="5E00E20F" w:rsidRPr="002D2D59">
        <w:t xml:space="preserve"> i dostępne (np. Na potrzeby inspekcji organów regulacyjnych).  Czynności przeprowadzane podczas wizyty COV to między </w:t>
      </w:r>
      <w:r w:rsidR="7E2053C0" w:rsidRPr="002D2D59">
        <w:t>innymi:</w:t>
      </w:r>
    </w:p>
    <w:p w14:paraId="55E266F2" w14:textId="3EFE11B8" w:rsidR="00BD3D6F" w:rsidRPr="002D2D59" w:rsidRDefault="0DD986C1" w:rsidP="00106AF3">
      <w:pPr>
        <w:pStyle w:val="Akapitzlist"/>
        <w:numPr>
          <w:ilvl w:val="0"/>
          <w:numId w:val="7"/>
        </w:numPr>
        <w:spacing w:after="0"/>
        <w:ind w:left="1134"/>
        <w:rPr>
          <w:rFonts w:cstheme="minorHAnsi"/>
          <w:szCs w:val="24"/>
        </w:rPr>
      </w:pPr>
      <w:r w:rsidRPr="002D2D59">
        <w:rPr>
          <w:rFonts w:cstheme="minorHAnsi"/>
          <w:szCs w:val="24"/>
        </w:rPr>
        <w:t xml:space="preserve">rozstrzygnięcie i zakończenie wszystkich kwestii formalno-organizacyjnych związanych </w:t>
      </w:r>
      <w:r w:rsidR="00BD3D6F" w:rsidRPr="002D2D59">
        <w:rPr>
          <w:rFonts w:cstheme="minorHAnsi"/>
          <w:szCs w:val="24"/>
        </w:rPr>
        <w:br/>
      </w:r>
      <w:r w:rsidRPr="002D2D59">
        <w:rPr>
          <w:rFonts w:cstheme="minorHAnsi"/>
          <w:szCs w:val="24"/>
        </w:rPr>
        <w:t>z prowadzonym w ośrodku badaniem klinicznym,</w:t>
      </w:r>
    </w:p>
    <w:p w14:paraId="77A9BEF8" w14:textId="644B7117" w:rsidR="00BD3D6F" w:rsidRPr="002D2D59" w:rsidRDefault="0DD986C1" w:rsidP="00106AF3">
      <w:pPr>
        <w:pStyle w:val="Akapitzlist"/>
        <w:numPr>
          <w:ilvl w:val="0"/>
          <w:numId w:val="6"/>
        </w:numPr>
        <w:spacing w:after="0"/>
        <w:ind w:left="1134"/>
        <w:rPr>
          <w:rFonts w:cstheme="minorHAnsi"/>
          <w:szCs w:val="24"/>
        </w:rPr>
      </w:pPr>
      <w:r w:rsidRPr="002D2D59">
        <w:rPr>
          <w:rFonts w:cstheme="minorHAnsi"/>
          <w:szCs w:val="24"/>
        </w:rPr>
        <w:t>weryfikacja podstawowej dokumentacji badania klinicznego - Akt Badacza (ISF),</w:t>
      </w:r>
    </w:p>
    <w:p w14:paraId="76477017" w14:textId="256E435B" w:rsidR="00BD3D6F" w:rsidRPr="002D2D59" w:rsidRDefault="0DD986C1" w:rsidP="00106AF3">
      <w:pPr>
        <w:pStyle w:val="Akapitzlist"/>
        <w:numPr>
          <w:ilvl w:val="0"/>
          <w:numId w:val="5"/>
        </w:numPr>
        <w:spacing w:after="0"/>
        <w:ind w:left="1134"/>
        <w:rPr>
          <w:rFonts w:cstheme="minorHAnsi"/>
          <w:szCs w:val="24"/>
        </w:rPr>
      </w:pPr>
      <w:r w:rsidRPr="002D2D59">
        <w:rPr>
          <w:rFonts w:cstheme="minorHAnsi"/>
          <w:szCs w:val="24"/>
        </w:rPr>
        <w:t>weryfikacja dokumentacji indywidualnej Uczestników badania oraz Kart Obserwacji Klinicznej (CRF) jeśli dotyczy,</w:t>
      </w:r>
    </w:p>
    <w:p w14:paraId="6DE2A632" w14:textId="488425D1" w:rsidR="00BD3D6F" w:rsidRPr="002D2D59" w:rsidRDefault="0DD986C1" w:rsidP="00106AF3">
      <w:pPr>
        <w:pStyle w:val="Akapitzlist"/>
        <w:numPr>
          <w:ilvl w:val="0"/>
          <w:numId w:val="4"/>
        </w:numPr>
        <w:spacing w:after="0"/>
        <w:ind w:left="1134"/>
        <w:rPr>
          <w:rFonts w:cstheme="minorHAnsi"/>
          <w:szCs w:val="24"/>
        </w:rPr>
      </w:pPr>
      <w:r w:rsidRPr="002D2D59">
        <w:rPr>
          <w:rFonts w:cstheme="minorHAnsi"/>
          <w:szCs w:val="24"/>
        </w:rPr>
        <w:t>weryfikacja rozliczenia badanego produktu leczniczego</w:t>
      </w:r>
    </w:p>
    <w:p w14:paraId="6DF18C5C" w14:textId="6DAA3C57" w:rsidR="00BD3D6F" w:rsidRPr="002F149B" w:rsidRDefault="0DD986C1" w:rsidP="00106AF3">
      <w:pPr>
        <w:pStyle w:val="Akapitzlist"/>
        <w:numPr>
          <w:ilvl w:val="0"/>
          <w:numId w:val="4"/>
        </w:numPr>
        <w:spacing w:after="0"/>
        <w:ind w:left="1134"/>
        <w:rPr>
          <w:rFonts w:cstheme="minorHAnsi"/>
          <w:szCs w:val="24"/>
        </w:rPr>
      </w:pPr>
      <w:r w:rsidRPr="002D2D59">
        <w:rPr>
          <w:rFonts w:cstheme="minorHAnsi"/>
          <w:szCs w:val="24"/>
        </w:rPr>
        <w:t>omówienie kwestii związanych z archiwizacją dokumentacji.</w:t>
      </w:r>
    </w:p>
    <w:p w14:paraId="100DDA10" w14:textId="36D9CB9E" w:rsidR="02B749F2" w:rsidRPr="002D2D59" w:rsidRDefault="02B749F2" w:rsidP="00106AF3">
      <w:pPr>
        <w:pStyle w:val="Lista1"/>
        <w:numPr>
          <w:ilvl w:val="0"/>
          <w:numId w:val="0"/>
        </w:numPr>
        <w:ind w:left="714"/>
        <w:rPr>
          <w:lang w:val="pl"/>
        </w:rPr>
      </w:pPr>
      <w:r w:rsidRPr="002D2D59">
        <w:rPr>
          <w:lang w:val="pl"/>
        </w:rPr>
        <w:t>Czynności w zakresie:</w:t>
      </w:r>
    </w:p>
    <w:p w14:paraId="319E0028" w14:textId="2ACCD572" w:rsidR="02B749F2" w:rsidRPr="002D2D59" w:rsidRDefault="02B749F2" w:rsidP="00106AF3">
      <w:pPr>
        <w:pStyle w:val="Akapitzlist"/>
        <w:numPr>
          <w:ilvl w:val="0"/>
          <w:numId w:val="3"/>
        </w:numPr>
        <w:ind w:left="1134"/>
        <w:rPr>
          <w:rFonts w:eastAsia="Calibri" w:cstheme="minorHAnsi"/>
          <w:szCs w:val="24"/>
        </w:rPr>
      </w:pPr>
      <w:r w:rsidRPr="002D2D59">
        <w:rPr>
          <w:rFonts w:eastAsia="Calibri" w:cstheme="minorHAnsi"/>
          <w:szCs w:val="24"/>
          <w:lang w:val="pl"/>
        </w:rPr>
        <w:t>przygotowania i p</w:t>
      </w:r>
      <w:r w:rsidRPr="002D2D59">
        <w:rPr>
          <w:rFonts w:eastAsia="Calibri" w:cstheme="minorHAnsi"/>
          <w:szCs w:val="24"/>
        </w:rPr>
        <w:t xml:space="preserve">rzeprowadzenia wizyt kwalifikujących oraz inicjujących badanie, o których mowa w punkcie 2, </w:t>
      </w:r>
    </w:p>
    <w:p w14:paraId="7EA5CC10" w14:textId="1A56B23A" w:rsidR="02B749F2" w:rsidRPr="002D2D59" w:rsidRDefault="02B749F2" w:rsidP="00106AF3">
      <w:pPr>
        <w:pStyle w:val="Akapitzlist"/>
        <w:numPr>
          <w:ilvl w:val="0"/>
          <w:numId w:val="3"/>
        </w:numPr>
        <w:ind w:left="1134"/>
        <w:rPr>
          <w:rFonts w:eastAsia="Calibri" w:cstheme="minorHAnsi"/>
          <w:szCs w:val="24"/>
          <w:lang w:val="pl"/>
        </w:rPr>
      </w:pPr>
      <w:r w:rsidRPr="002D2D59">
        <w:rPr>
          <w:rFonts w:eastAsia="Calibri" w:cstheme="minorHAnsi"/>
          <w:szCs w:val="24"/>
          <w:lang w:val="pl"/>
        </w:rPr>
        <w:t xml:space="preserve">przeprowadzenia scentralizowanego monitorowania badania klinicznego, o którym mowa w punkcie 3, </w:t>
      </w:r>
    </w:p>
    <w:p w14:paraId="5B8680B8" w14:textId="3DCC40F1" w:rsidR="02B749F2" w:rsidRPr="002D2D59" w:rsidRDefault="02B749F2" w:rsidP="00106AF3">
      <w:pPr>
        <w:pStyle w:val="Akapitzlist"/>
        <w:numPr>
          <w:ilvl w:val="0"/>
          <w:numId w:val="3"/>
        </w:numPr>
        <w:ind w:left="1134"/>
        <w:rPr>
          <w:rFonts w:eastAsia="Calibri" w:cstheme="minorHAnsi"/>
          <w:szCs w:val="24"/>
          <w:lang w:val="pl"/>
        </w:rPr>
      </w:pPr>
      <w:r w:rsidRPr="002D2D59">
        <w:rPr>
          <w:rFonts w:eastAsia="Calibri" w:cstheme="minorHAnsi"/>
          <w:szCs w:val="24"/>
          <w:lang w:val="pl"/>
        </w:rPr>
        <w:t>przygotowania i przeprowadzenia wizyt zamykających ośrodki (COV), o których mowa w punkcie 4</w:t>
      </w:r>
    </w:p>
    <w:p w14:paraId="3D4A2F10" w14:textId="5C654988" w:rsidR="02B749F2" w:rsidRPr="002D2D59" w:rsidRDefault="02B749F2" w:rsidP="00106AF3">
      <w:pPr>
        <w:pStyle w:val="Lista1"/>
        <w:numPr>
          <w:ilvl w:val="0"/>
          <w:numId w:val="0"/>
        </w:numPr>
        <w:ind w:left="714"/>
        <w:rPr>
          <w:lang w:val="pl"/>
        </w:rPr>
      </w:pPr>
      <w:r w:rsidRPr="002D2D59">
        <w:rPr>
          <w:lang w:val="pl"/>
        </w:rPr>
        <w:t>zostaną przeprowadzone w oparciu o plan monitorowania, o którym mowa w punkcie 1.</w:t>
      </w:r>
    </w:p>
    <w:p w14:paraId="2CE7BBA3" w14:textId="77AABF7D" w:rsidR="0A297BA9" w:rsidRPr="002F149B" w:rsidRDefault="02B749F2" w:rsidP="00106AF3">
      <w:pPr>
        <w:pStyle w:val="Lista1"/>
        <w:numPr>
          <w:ilvl w:val="0"/>
          <w:numId w:val="0"/>
        </w:numPr>
        <w:ind w:left="714"/>
        <w:rPr>
          <w:lang w:val="pl"/>
        </w:rPr>
      </w:pPr>
      <w:r w:rsidRPr="002D2D59">
        <w:rPr>
          <w:lang w:val="pl"/>
        </w:rPr>
        <w:lastRenderedPageBreak/>
        <w:t xml:space="preserve">W przypadku zagadnień nieuwzględnionych w planie monitorowania, wskazane czynności będą przeprowadzone przez Wykonawcę w oparciu o Standardowe Procedury Operacyjne (SOP: </w:t>
      </w:r>
      <w:r w:rsidRPr="002D2D59">
        <w:rPr>
          <w:i/>
          <w:iCs/>
          <w:lang w:val="pl"/>
        </w:rPr>
        <w:t>standard operating procedure</w:t>
      </w:r>
      <w:r w:rsidRPr="002D2D59">
        <w:rPr>
          <w:lang w:val="pl"/>
        </w:rPr>
        <w:t xml:space="preserve">) Wykonawcy, przy czym </w:t>
      </w:r>
      <w:r w:rsidR="007D0F69" w:rsidRPr="002D2D59">
        <w:rPr>
          <w:lang w:val="pl"/>
        </w:rPr>
        <w:t xml:space="preserve">Zamawiający </w:t>
      </w:r>
      <w:r w:rsidRPr="002D2D59">
        <w:rPr>
          <w:lang w:val="pl"/>
        </w:rPr>
        <w:t>musi je zaakceptować przed rozpoczęciem działań, o których mowa w punkcie 2, 3 i 4.</w:t>
      </w:r>
    </w:p>
    <w:p w14:paraId="1E285CFA" w14:textId="7E4828E6" w:rsidR="00337D0E" w:rsidRPr="002D2D59" w:rsidRDefault="007937BD" w:rsidP="00106AF3">
      <w:pPr>
        <w:pStyle w:val="Normalny2"/>
      </w:pPr>
      <w:r w:rsidRPr="002D2D59">
        <w:t>Termin</w:t>
      </w:r>
      <w:r w:rsidR="00337D0E" w:rsidRPr="002D2D59">
        <w:t xml:space="preserve"> realizacji:</w:t>
      </w:r>
    </w:p>
    <w:p w14:paraId="002AD5C0" w14:textId="6D713797" w:rsidR="008419FF" w:rsidRPr="007B0311" w:rsidRDefault="008419FF" w:rsidP="00106AF3">
      <w:pPr>
        <w:pStyle w:val="Akapitzlist"/>
        <w:spacing w:after="0"/>
        <w:ind w:left="0"/>
        <w:rPr>
          <w:rFonts w:cstheme="minorHAnsi"/>
          <w:b/>
          <w:szCs w:val="24"/>
        </w:rPr>
      </w:pPr>
      <w:r w:rsidRPr="007B0311">
        <w:rPr>
          <w:rFonts w:cstheme="minorHAnsi"/>
          <w:b/>
          <w:szCs w:val="24"/>
        </w:rPr>
        <w:t xml:space="preserve">Zamówienie będzie realizowane w terminie: </w:t>
      </w:r>
      <w:r w:rsidR="00907501" w:rsidRPr="007B0311">
        <w:rPr>
          <w:rFonts w:cstheme="minorHAnsi"/>
          <w:b/>
          <w:szCs w:val="24"/>
        </w:rPr>
        <w:t xml:space="preserve"> w ciągu </w:t>
      </w:r>
      <w:r w:rsidR="00BA7068">
        <w:rPr>
          <w:rFonts w:cstheme="minorHAnsi"/>
          <w:b/>
          <w:szCs w:val="24"/>
        </w:rPr>
        <w:t>48</w:t>
      </w:r>
      <w:r w:rsidR="00907501" w:rsidRPr="007B0311">
        <w:rPr>
          <w:rFonts w:cstheme="minorHAnsi"/>
          <w:b/>
          <w:szCs w:val="24"/>
        </w:rPr>
        <w:t xml:space="preserve"> miesięcy </w:t>
      </w:r>
      <w:r w:rsidRPr="007B0311">
        <w:rPr>
          <w:rFonts w:cstheme="minorHAnsi"/>
          <w:b/>
          <w:szCs w:val="24"/>
        </w:rPr>
        <w:t>od dnia podpisania</w:t>
      </w:r>
      <w:r w:rsidR="00907501" w:rsidRPr="007B0311">
        <w:rPr>
          <w:rFonts w:cstheme="minorHAnsi"/>
          <w:b/>
          <w:szCs w:val="24"/>
        </w:rPr>
        <w:t xml:space="preserve"> umowy</w:t>
      </w:r>
    </w:p>
    <w:p w14:paraId="654B0FFD" w14:textId="27B2EADC" w:rsidR="00ED6ACD" w:rsidRPr="00824257" w:rsidRDefault="00E76E27" w:rsidP="00106AF3">
      <w:pPr>
        <w:pStyle w:val="Czerwony"/>
        <w:rPr>
          <w:lang w:eastAsia="pl-PL"/>
        </w:rPr>
      </w:pPr>
      <w:r w:rsidRPr="00824257">
        <w:rPr>
          <w:lang w:eastAsia="pl-PL"/>
        </w:rPr>
        <w:t xml:space="preserve">Przedmiot zamówienia – zał. nr 2 do SWZ </w:t>
      </w:r>
      <w:r w:rsidR="00ED6ACD" w:rsidRPr="00824257">
        <w:rPr>
          <w:lang w:eastAsia="pl-PL"/>
        </w:rPr>
        <w:t>musi być podpisany kwalifikowanym podpisem elektronicznym.</w:t>
      </w:r>
    </w:p>
    <w:sectPr w:rsidR="00ED6ACD" w:rsidRPr="00824257" w:rsidSect="00393178">
      <w:pgSz w:w="11906" w:h="16838"/>
      <w:pgMar w:top="1153" w:right="1416" w:bottom="1417" w:left="1417" w:header="36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77667" w14:textId="77777777" w:rsidR="00554CFF" w:rsidRDefault="00554CFF" w:rsidP="002C71F3">
      <w:pPr>
        <w:spacing w:after="0" w:line="240" w:lineRule="auto"/>
      </w:pPr>
      <w:r>
        <w:separator/>
      </w:r>
    </w:p>
  </w:endnote>
  <w:endnote w:type="continuationSeparator" w:id="0">
    <w:p w14:paraId="30AC6445" w14:textId="77777777" w:rsidR="00554CFF" w:rsidRDefault="00554CFF" w:rsidP="002C7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UnicodeMS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11DA" w14:textId="77777777" w:rsidR="00554CFF" w:rsidRDefault="00554CFF" w:rsidP="002C71F3">
      <w:pPr>
        <w:spacing w:after="0" w:line="240" w:lineRule="auto"/>
      </w:pPr>
      <w:r>
        <w:separator/>
      </w:r>
    </w:p>
  </w:footnote>
  <w:footnote w:type="continuationSeparator" w:id="0">
    <w:p w14:paraId="62420276" w14:textId="77777777" w:rsidR="00554CFF" w:rsidRDefault="00554CFF" w:rsidP="002C7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86A4"/>
    <w:multiLevelType w:val="hybridMultilevel"/>
    <w:tmpl w:val="75605926"/>
    <w:lvl w:ilvl="0" w:tplc="78DE41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446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1C1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89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A4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4A9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82D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8AB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74F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B250A"/>
    <w:multiLevelType w:val="hybridMultilevel"/>
    <w:tmpl w:val="68B2E0C2"/>
    <w:lvl w:ilvl="0" w:tplc="2916A0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9AB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6E87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A1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60F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2A5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D88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DC6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83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13B6D"/>
    <w:multiLevelType w:val="hybridMultilevel"/>
    <w:tmpl w:val="F03A8B3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2A042B"/>
    <w:multiLevelType w:val="hybridMultilevel"/>
    <w:tmpl w:val="F5D81772"/>
    <w:lvl w:ilvl="0" w:tplc="EB0E17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32F6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E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6DA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4B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74F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6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4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D62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33389"/>
    <w:multiLevelType w:val="hybridMultilevel"/>
    <w:tmpl w:val="BA48F6AE"/>
    <w:lvl w:ilvl="0" w:tplc="CC86CE1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 w15:restartNumberingAfterBreak="0">
    <w:nsid w:val="378AFF26"/>
    <w:multiLevelType w:val="hybridMultilevel"/>
    <w:tmpl w:val="ED1A9C92"/>
    <w:lvl w:ilvl="0" w:tplc="0D966E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9802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D43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88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2C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DCC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4C0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9EA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1E2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B2140"/>
    <w:multiLevelType w:val="hybridMultilevel"/>
    <w:tmpl w:val="BEB2468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9A00F4"/>
    <w:multiLevelType w:val="hybridMultilevel"/>
    <w:tmpl w:val="37D2F55C"/>
    <w:lvl w:ilvl="0" w:tplc="5100E4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22F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81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20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AE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D46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89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CE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42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DD552"/>
    <w:multiLevelType w:val="hybridMultilevel"/>
    <w:tmpl w:val="BBE615DE"/>
    <w:lvl w:ilvl="0" w:tplc="5E8457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F565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5883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FC1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07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8A6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26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3CC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8C9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17A76"/>
    <w:multiLevelType w:val="hybridMultilevel"/>
    <w:tmpl w:val="B426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3496A"/>
    <w:multiLevelType w:val="hybridMultilevel"/>
    <w:tmpl w:val="BB7028EA"/>
    <w:lvl w:ilvl="0" w:tplc="9880D004">
      <w:start w:val="1"/>
      <w:numFmt w:val="decimal"/>
      <w:pStyle w:val="Lista1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848BABC"/>
    <w:multiLevelType w:val="hybridMultilevel"/>
    <w:tmpl w:val="9E20CF46"/>
    <w:lvl w:ilvl="0" w:tplc="666E17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9105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BAA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40D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04E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81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AEB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C60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C1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BC2D9"/>
    <w:multiLevelType w:val="hybridMultilevel"/>
    <w:tmpl w:val="F4A2A056"/>
    <w:lvl w:ilvl="0" w:tplc="833885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A2E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CAA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41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C26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926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AD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8E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567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1CC24"/>
    <w:multiLevelType w:val="hybridMultilevel"/>
    <w:tmpl w:val="A2CA9782"/>
    <w:lvl w:ilvl="0" w:tplc="CEBA4A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F7C3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2AF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8C5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07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FED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ED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168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707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E0D07"/>
    <w:multiLevelType w:val="hybridMultilevel"/>
    <w:tmpl w:val="E2CA08CA"/>
    <w:lvl w:ilvl="0" w:tplc="6860B7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40D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266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B03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C2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861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66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49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6AD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38466"/>
    <w:multiLevelType w:val="hybridMultilevel"/>
    <w:tmpl w:val="E0A00C76"/>
    <w:lvl w:ilvl="0" w:tplc="7674B9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626B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9A2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801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84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1A7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2A9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ADA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586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626D2"/>
    <w:multiLevelType w:val="hybridMultilevel"/>
    <w:tmpl w:val="EE62B6B0"/>
    <w:lvl w:ilvl="0" w:tplc="014AC1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8225E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B84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49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A06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74D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709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2896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54A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B3292"/>
    <w:multiLevelType w:val="hybridMultilevel"/>
    <w:tmpl w:val="128C0048"/>
    <w:lvl w:ilvl="0" w:tplc="257674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7C8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466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281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4F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803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24A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EAB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488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13"/>
  </w:num>
  <w:num w:numId="5">
    <w:abstractNumId w:val="5"/>
  </w:num>
  <w:num w:numId="6">
    <w:abstractNumId w:val="15"/>
  </w:num>
  <w:num w:numId="7">
    <w:abstractNumId w:val="11"/>
  </w:num>
  <w:num w:numId="8">
    <w:abstractNumId w:val="16"/>
  </w:num>
  <w:num w:numId="9">
    <w:abstractNumId w:val="8"/>
  </w:num>
  <w:num w:numId="10">
    <w:abstractNumId w:val="7"/>
  </w:num>
  <w:num w:numId="11">
    <w:abstractNumId w:val="12"/>
  </w:num>
  <w:num w:numId="12">
    <w:abstractNumId w:val="1"/>
  </w:num>
  <w:num w:numId="13">
    <w:abstractNumId w:val="14"/>
  </w:num>
  <w:num w:numId="14">
    <w:abstractNumId w:val="9"/>
  </w:num>
  <w:num w:numId="15">
    <w:abstractNumId w:val="2"/>
  </w:num>
  <w:num w:numId="16">
    <w:abstractNumId w:val="10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xMDc3sDQ1sDQztDBS0lEKTi0uzszPAykwrAUA3KUd3ywAAAA="/>
  </w:docVars>
  <w:rsids>
    <w:rsidRoot w:val="008B6AAE"/>
    <w:rsid w:val="00012A5C"/>
    <w:rsid w:val="00042CFB"/>
    <w:rsid w:val="00067470"/>
    <w:rsid w:val="00076835"/>
    <w:rsid w:val="000814E4"/>
    <w:rsid w:val="000A4DE3"/>
    <w:rsid w:val="000B3C44"/>
    <w:rsid w:val="000B4255"/>
    <w:rsid w:val="000E02EF"/>
    <w:rsid w:val="00106AF3"/>
    <w:rsid w:val="00107D9A"/>
    <w:rsid w:val="00113B2D"/>
    <w:rsid w:val="0012332C"/>
    <w:rsid w:val="001240E9"/>
    <w:rsid w:val="001345F7"/>
    <w:rsid w:val="0013581A"/>
    <w:rsid w:val="001468E3"/>
    <w:rsid w:val="00153B21"/>
    <w:rsid w:val="00167C04"/>
    <w:rsid w:val="00181EDC"/>
    <w:rsid w:val="00185679"/>
    <w:rsid w:val="001B1711"/>
    <w:rsid w:val="001B1B59"/>
    <w:rsid w:val="001D718B"/>
    <w:rsid w:val="001E3F9B"/>
    <w:rsid w:val="001E465B"/>
    <w:rsid w:val="001F3294"/>
    <w:rsid w:val="002014FD"/>
    <w:rsid w:val="00204CAD"/>
    <w:rsid w:val="00207E9B"/>
    <w:rsid w:val="00223AA7"/>
    <w:rsid w:val="00226238"/>
    <w:rsid w:val="00226DF1"/>
    <w:rsid w:val="002365F5"/>
    <w:rsid w:val="0026130F"/>
    <w:rsid w:val="002665B9"/>
    <w:rsid w:val="002766FB"/>
    <w:rsid w:val="002804E6"/>
    <w:rsid w:val="00280B46"/>
    <w:rsid w:val="00297E46"/>
    <w:rsid w:val="002B0603"/>
    <w:rsid w:val="002B1D5A"/>
    <w:rsid w:val="002C71F3"/>
    <w:rsid w:val="002D0842"/>
    <w:rsid w:val="002D2D59"/>
    <w:rsid w:val="002D489B"/>
    <w:rsid w:val="002D726C"/>
    <w:rsid w:val="002E05B4"/>
    <w:rsid w:val="002F149B"/>
    <w:rsid w:val="002F1EAB"/>
    <w:rsid w:val="003038A9"/>
    <w:rsid w:val="003207C9"/>
    <w:rsid w:val="00337D0E"/>
    <w:rsid w:val="00343CA4"/>
    <w:rsid w:val="00346A1C"/>
    <w:rsid w:val="003641E6"/>
    <w:rsid w:val="00366693"/>
    <w:rsid w:val="0037180F"/>
    <w:rsid w:val="00377B37"/>
    <w:rsid w:val="003920B0"/>
    <w:rsid w:val="00393178"/>
    <w:rsid w:val="003A2BFD"/>
    <w:rsid w:val="003C0D58"/>
    <w:rsid w:val="003D5BBD"/>
    <w:rsid w:val="003F309E"/>
    <w:rsid w:val="00422E42"/>
    <w:rsid w:val="0044165C"/>
    <w:rsid w:val="004510DB"/>
    <w:rsid w:val="00475BBC"/>
    <w:rsid w:val="00483F79"/>
    <w:rsid w:val="00491E29"/>
    <w:rsid w:val="004938FE"/>
    <w:rsid w:val="004A3684"/>
    <w:rsid w:val="004A55EC"/>
    <w:rsid w:val="004B4584"/>
    <w:rsid w:val="004D47B3"/>
    <w:rsid w:val="004D5413"/>
    <w:rsid w:val="004D6B3B"/>
    <w:rsid w:val="004E2295"/>
    <w:rsid w:val="004F4DD5"/>
    <w:rsid w:val="004F74A5"/>
    <w:rsid w:val="00503FA0"/>
    <w:rsid w:val="00531AA7"/>
    <w:rsid w:val="0054626F"/>
    <w:rsid w:val="00554CFF"/>
    <w:rsid w:val="005615E5"/>
    <w:rsid w:val="005754B6"/>
    <w:rsid w:val="00587506"/>
    <w:rsid w:val="00587FD9"/>
    <w:rsid w:val="005921EB"/>
    <w:rsid w:val="00596E82"/>
    <w:rsid w:val="005A02C4"/>
    <w:rsid w:val="005A5455"/>
    <w:rsid w:val="005C0127"/>
    <w:rsid w:val="005C7DF5"/>
    <w:rsid w:val="005D04AC"/>
    <w:rsid w:val="005E3284"/>
    <w:rsid w:val="005E7853"/>
    <w:rsid w:val="005F6AD9"/>
    <w:rsid w:val="00604588"/>
    <w:rsid w:val="006067FB"/>
    <w:rsid w:val="00615D76"/>
    <w:rsid w:val="00620CE3"/>
    <w:rsid w:val="0062228F"/>
    <w:rsid w:val="00624D54"/>
    <w:rsid w:val="00633C28"/>
    <w:rsid w:val="00634094"/>
    <w:rsid w:val="0063486F"/>
    <w:rsid w:val="00641D24"/>
    <w:rsid w:val="006429B7"/>
    <w:rsid w:val="0065325C"/>
    <w:rsid w:val="00654D72"/>
    <w:rsid w:val="0068689E"/>
    <w:rsid w:val="006954A7"/>
    <w:rsid w:val="0069726F"/>
    <w:rsid w:val="006C59A3"/>
    <w:rsid w:val="006F57A6"/>
    <w:rsid w:val="00703534"/>
    <w:rsid w:val="0070658A"/>
    <w:rsid w:val="00724565"/>
    <w:rsid w:val="007248CE"/>
    <w:rsid w:val="00724EA7"/>
    <w:rsid w:val="00737CC5"/>
    <w:rsid w:val="00757B65"/>
    <w:rsid w:val="00757FC3"/>
    <w:rsid w:val="00761D0B"/>
    <w:rsid w:val="0078008E"/>
    <w:rsid w:val="007816AE"/>
    <w:rsid w:val="00787241"/>
    <w:rsid w:val="007937BD"/>
    <w:rsid w:val="007A3B22"/>
    <w:rsid w:val="007A63F9"/>
    <w:rsid w:val="007B0311"/>
    <w:rsid w:val="007D0F69"/>
    <w:rsid w:val="007D66A3"/>
    <w:rsid w:val="007E1B52"/>
    <w:rsid w:val="007F0DB3"/>
    <w:rsid w:val="007F6A4F"/>
    <w:rsid w:val="008045A7"/>
    <w:rsid w:val="0080593C"/>
    <w:rsid w:val="00824257"/>
    <w:rsid w:val="00826F4C"/>
    <w:rsid w:val="008419FF"/>
    <w:rsid w:val="00872FFE"/>
    <w:rsid w:val="0087511B"/>
    <w:rsid w:val="008851E5"/>
    <w:rsid w:val="00885DD5"/>
    <w:rsid w:val="00897E6A"/>
    <w:rsid w:val="008A60A1"/>
    <w:rsid w:val="008B32DB"/>
    <w:rsid w:val="008B6AAE"/>
    <w:rsid w:val="008C1703"/>
    <w:rsid w:val="008C6C75"/>
    <w:rsid w:val="008D1ECF"/>
    <w:rsid w:val="008D6F69"/>
    <w:rsid w:val="008F0FDB"/>
    <w:rsid w:val="008F315E"/>
    <w:rsid w:val="008F4F39"/>
    <w:rsid w:val="0090056F"/>
    <w:rsid w:val="009016DC"/>
    <w:rsid w:val="00907501"/>
    <w:rsid w:val="00916F86"/>
    <w:rsid w:val="00926DD6"/>
    <w:rsid w:val="009317AE"/>
    <w:rsid w:val="00934875"/>
    <w:rsid w:val="0093543B"/>
    <w:rsid w:val="00935D97"/>
    <w:rsid w:val="009376F9"/>
    <w:rsid w:val="00940DB3"/>
    <w:rsid w:val="00941A27"/>
    <w:rsid w:val="00945329"/>
    <w:rsid w:val="00946AF7"/>
    <w:rsid w:val="00952A1F"/>
    <w:rsid w:val="00963B80"/>
    <w:rsid w:val="009712DD"/>
    <w:rsid w:val="00971437"/>
    <w:rsid w:val="00991B96"/>
    <w:rsid w:val="00991FD3"/>
    <w:rsid w:val="009943CC"/>
    <w:rsid w:val="009945A2"/>
    <w:rsid w:val="009B1F8F"/>
    <w:rsid w:val="009B4313"/>
    <w:rsid w:val="009B526B"/>
    <w:rsid w:val="009D325C"/>
    <w:rsid w:val="009D4D89"/>
    <w:rsid w:val="009D5B24"/>
    <w:rsid w:val="009E231D"/>
    <w:rsid w:val="009F5F12"/>
    <w:rsid w:val="009F6CA5"/>
    <w:rsid w:val="00A15B08"/>
    <w:rsid w:val="00A67F06"/>
    <w:rsid w:val="00A82139"/>
    <w:rsid w:val="00A84CDE"/>
    <w:rsid w:val="00A9387D"/>
    <w:rsid w:val="00AA0070"/>
    <w:rsid w:val="00AA70F8"/>
    <w:rsid w:val="00AB4798"/>
    <w:rsid w:val="00AB60A7"/>
    <w:rsid w:val="00AD461B"/>
    <w:rsid w:val="00AE062F"/>
    <w:rsid w:val="00AE106D"/>
    <w:rsid w:val="00AE40A7"/>
    <w:rsid w:val="00AF1727"/>
    <w:rsid w:val="00AF1E76"/>
    <w:rsid w:val="00AF3152"/>
    <w:rsid w:val="00AF4441"/>
    <w:rsid w:val="00AF54C3"/>
    <w:rsid w:val="00B00748"/>
    <w:rsid w:val="00B512BB"/>
    <w:rsid w:val="00B57299"/>
    <w:rsid w:val="00B644C8"/>
    <w:rsid w:val="00B647A3"/>
    <w:rsid w:val="00B71ABA"/>
    <w:rsid w:val="00B93316"/>
    <w:rsid w:val="00B9629D"/>
    <w:rsid w:val="00BA7068"/>
    <w:rsid w:val="00BB12B6"/>
    <w:rsid w:val="00BC16A5"/>
    <w:rsid w:val="00BC460C"/>
    <w:rsid w:val="00BD3C23"/>
    <w:rsid w:val="00BD3D6F"/>
    <w:rsid w:val="00BF0242"/>
    <w:rsid w:val="00BF57B7"/>
    <w:rsid w:val="00C04596"/>
    <w:rsid w:val="00C05939"/>
    <w:rsid w:val="00C2265F"/>
    <w:rsid w:val="00C30B15"/>
    <w:rsid w:val="00C36D6F"/>
    <w:rsid w:val="00C47FF4"/>
    <w:rsid w:val="00C6496D"/>
    <w:rsid w:val="00C74001"/>
    <w:rsid w:val="00C75503"/>
    <w:rsid w:val="00C800CC"/>
    <w:rsid w:val="00C84D5F"/>
    <w:rsid w:val="00C947FE"/>
    <w:rsid w:val="00CB37C1"/>
    <w:rsid w:val="00CB697C"/>
    <w:rsid w:val="00CC3A81"/>
    <w:rsid w:val="00CD0488"/>
    <w:rsid w:val="00CD22DC"/>
    <w:rsid w:val="00CD408A"/>
    <w:rsid w:val="00CE37CB"/>
    <w:rsid w:val="00CE78B4"/>
    <w:rsid w:val="00D559EE"/>
    <w:rsid w:val="00D55BC0"/>
    <w:rsid w:val="00D650D8"/>
    <w:rsid w:val="00D666E9"/>
    <w:rsid w:val="00D70855"/>
    <w:rsid w:val="00D75CCB"/>
    <w:rsid w:val="00D81EF4"/>
    <w:rsid w:val="00D83F33"/>
    <w:rsid w:val="00D9241E"/>
    <w:rsid w:val="00DA5240"/>
    <w:rsid w:val="00DA5CDE"/>
    <w:rsid w:val="00DA7611"/>
    <w:rsid w:val="00DC1E75"/>
    <w:rsid w:val="00DD21E4"/>
    <w:rsid w:val="00DF0C4A"/>
    <w:rsid w:val="00DF699D"/>
    <w:rsid w:val="00E21902"/>
    <w:rsid w:val="00E33B18"/>
    <w:rsid w:val="00E43147"/>
    <w:rsid w:val="00E52EA9"/>
    <w:rsid w:val="00E6241D"/>
    <w:rsid w:val="00E63C72"/>
    <w:rsid w:val="00E76E27"/>
    <w:rsid w:val="00E86C8E"/>
    <w:rsid w:val="00E94AE5"/>
    <w:rsid w:val="00EB14F2"/>
    <w:rsid w:val="00EB306D"/>
    <w:rsid w:val="00EB57C5"/>
    <w:rsid w:val="00EB58F8"/>
    <w:rsid w:val="00EC6A77"/>
    <w:rsid w:val="00ED090B"/>
    <w:rsid w:val="00ED52F0"/>
    <w:rsid w:val="00ED6ACD"/>
    <w:rsid w:val="00EE3DDD"/>
    <w:rsid w:val="00EE41E7"/>
    <w:rsid w:val="00EE6004"/>
    <w:rsid w:val="00F02B01"/>
    <w:rsid w:val="00F10E95"/>
    <w:rsid w:val="00F15BB6"/>
    <w:rsid w:val="00F23BBE"/>
    <w:rsid w:val="00F426DB"/>
    <w:rsid w:val="00F54625"/>
    <w:rsid w:val="00F569E1"/>
    <w:rsid w:val="00F63FA0"/>
    <w:rsid w:val="00F6776C"/>
    <w:rsid w:val="00F7115B"/>
    <w:rsid w:val="00F74E4E"/>
    <w:rsid w:val="00F870BB"/>
    <w:rsid w:val="00F9539C"/>
    <w:rsid w:val="00FB7532"/>
    <w:rsid w:val="00FC02B4"/>
    <w:rsid w:val="00FC744D"/>
    <w:rsid w:val="00FD09A4"/>
    <w:rsid w:val="00FD4AF5"/>
    <w:rsid w:val="00FD6656"/>
    <w:rsid w:val="00FE0E6A"/>
    <w:rsid w:val="00FE6D25"/>
    <w:rsid w:val="00FF6EEC"/>
    <w:rsid w:val="0134ED62"/>
    <w:rsid w:val="01782DC0"/>
    <w:rsid w:val="024F4950"/>
    <w:rsid w:val="02752597"/>
    <w:rsid w:val="02B749F2"/>
    <w:rsid w:val="02D0BDC3"/>
    <w:rsid w:val="036C0912"/>
    <w:rsid w:val="03760244"/>
    <w:rsid w:val="04AFCE82"/>
    <w:rsid w:val="05560A86"/>
    <w:rsid w:val="05BF180F"/>
    <w:rsid w:val="0625865E"/>
    <w:rsid w:val="069A1A76"/>
    <w:rsid w:val="079AF79A"/>
    <w:rsid w:val="0852AEA7"/>
    <w:rsid w:val="08D344B1"/>
    <w:rsid w:val="09AD3A76"/>
    <w:rsid w:val="09C76223"/>
    <w:rsid w:val="0A297BA9"/>
    <w:rsid w:val="0A556D9F"/>
    <w:rsid w:val="0A7A80FE"/>
    <w:rsid w:val="0AB52B1A"/>
    <w:rsid w:val="0B08E444"/>
    <w:rsid w:val="0B1F1006"/>
    <w:rsid w:val="0B9F68DA"/>
    <w:rsid w:val="0C50FB7B"/>
    <w:rsid w:val="0C7DE3A8"/>
    <w:rsid w:val="0DD986C1"/>
    <w:rsid w:val="0E56B0C8"/>
    <w:rsid w:val="1203EDE3"/>
    <w:rsid w:val="12231079"/>
    <w:rsid w:val="13E20133"/>
    <w:rsid w:val="143DBAFF"/>
    <w:rsid w:val="14C5F24C"/>
    <w:rsid w:val="15D98B60"/>
    <w:rsid w:val="16485C9F"/>
    <w:rsid w:val="17565BBD"/>
    <w:rsid w:val="1791787B"/>
    <w:rsid w:val="17AE0AAC"/>
    <w:rsid w:val="189C532B"/>
    <w:rsid w:val="1CCA55B4"/>
    <w:rsid w:val="1E2710C2"/>
    <w:rsid w:val="1EC1C4C4"/>
    <w:rsid w:val="2005625B"/>
    <w:rsid w:val="201547FF"/>
    <w:rsid w:val="20F42288"/>
    <w:rsid w:val="24D8D37E"/>
    <w:rsid w:val="24ED0E45"/>
    <w:rsid w:val="26304B9B"/>
    <w:rsid w:val="2747A7DD"/>
    <w:rsid w:val="278C07A9"/>
    <w:rsid w:val="29003C0E"/>
    <w:rsid w:val="2A13BCD1"/>
    <w:rsid w:val="2A5AC7DD"/>
    <w:rsid w:val="2AEDB0D2"/>
    <w:rsid w:val="2B29DE5A"/>
    <w:rsid w:val="2C805B01"/>
    <w:rsid w:val="2E898919"/>
    <w:rsid w:val="2EF422C2"/>
    <w:rsid w:val="2EF5B49C"/>
    <w:rsid w:val="2F522A42"/>
    <w:rsid w:val="30AE0E31"/>
    <w:rsid w:val="30D01514"/>
    <w:rsid w:val="3249DE92"/>
    <w:rsid w:val="325C5A44"/>
    <w:rsid w:val="332EB8FB"/>
    <w:rsid w:val="34E5C466"/>
    <w:rsid w:val="35817F54"/>
    <w:rsid w:val="363159F3"/>
    <w:rsid w:val="371D4FB5"/>
    <w:rsid w:val="37576A00"/>
    <w:rsid w:val="37AAB41B"/>
    <w:rsid w:val="382E8590"/>
    <w:rsid w:val="388170E9"/>
    <w:rsid w:val="3AFB0918"/>
    <w:rsid w:val="3BF47B1E"/>
    <w:rsid w:val="3C2ADB23"/>
    <w:rsid w:val="3C84A285"/>
    <w:rsid w:val="3D14CFD1"/>
    <w:rsid w:val="3D52A36B"/>
    <w:rsid w:val="3EEE73CC"/>
    <w:rsid w:val="408A442D"/>
    <w:rsid w:val="411A0AC8"/>
    <w:rsid w:val="4464FB2A"/>
    <w:rsid w:val="45429FC0"/>
    <w:rsid w:val="455DD2D1"/>
    <w:rsid w:val="45D1BD69"/>
    <w:rsid w:val="46AC57FF"/>
    <w:rsid w:val="47F35285"/>
    <w:rsid w:val="48983A90"/>
    <w:rsid w:val="48B21D13"/>
    <w:rsid w:val="48B9D5C9"/>
    <w:rsid w:val="49114BB1"/>
    <w:rsid w:val="4936D8B8"/>
    <w:rsid w:val="49ADC975"/>
    <w:rsid w:val="4A36D6C9"/>
    <w:rsid w:val="4A5CC852"/>
    <w:rsid w:val="4B3F1D8D"/>
    <w:rsid w:val="4B9340AA"/>
    <w:rsid w:val="4BF1768B"/>
    <w:rsid w:val="4C56E4B2"/>
    <w:rsid w:val="4CD9F81A"/>
    <w:rsid w:val="4D71207C"/>
    <w:rsid w:val="4D8D46EC"/>
    <w:rsid w:val="4DDAFDE4"/>
    <w:rsid w:val="4E718E3D"/>
    <w:rsid w:val="4F29174D"/>
    <w:rsid w:val="4F789FAF"/>
    <w:rsid w:val="4F810CEB"/>
    <w:rsid w:val="4F975944"/>
    <w:rsid w:val="4F9F3466"/>
    <w:rsid w:val="51EF0AA6"/>
    <w:rsid w:val="5256783E"/>
    <w:rsid w:val="52BECA04"/>
    <w:rsid w:val="54ED41D0"/>
    <w:rsid w:val="5681667A"/>
    <w:rsid w:val="58584182"/>
    <w:rsid w:val="59F80DF7"/>
    <w:rsid w:val="5A4697B4"/>
    <w:rsid w:val="5AA0588F"/>
    <w:rsid w:val="5B95ECEC"/>
    <w:rsid w:val="5BA6CFEB"/>
    <w:rsid w:val="5D42A04C"/>
    <w:rsid w:val="5E00E20F"/>
    <w:rsid w:val="5E88468E"/>
    <w:rsid w:val="5E8BAE16"/>
    <w:rsid w:val="5E8D3070"/>
    <w:rsid w:val="5EDE70AD"/>
    <w:rsid w:val="5F82E4AD"/>
    <w:rsid w:val="5FFF7923"/>
    <w:rsid w:val="60277E77"/>
    <w:rsid w:val="64C44633"/>
    <w:rsid w:val="65CBFF76"/>
    <w:rsid w:val="65EAAA4F"/>
    <w:rsid w:val="65EC8D0E"/>
    <w:rsid w:val="66AAC8EC"/>
    <w:rsid w:val="67CC6286"/>
    <w:rsid w:val="68291AD2"/>
    <w:rsid w:val="6863351D"/>
    <w:rsid w:val="68E2BE21"/>
    <w:rsid w:val="69D724BA"/>
    <w:rsid w:val="6A7E8E82"/>
    <w:rsid w:val="6AC223B0"/>
    <w:rsid w:val="6BCD0E91"/>
    <w:rsid w:val="6C9965E7"/>
    <w:rsid w:val="6D7F521D"/>
    <w:rsid w:val="6DE1665E"/>
    <w:rsid w:val="6F0A33B2"/>
    <w:rsid w:val="6F936100"/>
    <w:rsid w:val="70136746"/>
    <w:rsid w:val="713CC17A"/>
    <w:rsid w:val="72FDDA56"/>
    <w:rsid w:val="730F152D"/>
    <w:rsid w:val="7470207D"/>
    <w:rsid w:val="7478B8C9"/>
    <w:rsid w:val="75303086"/>
    <w:rsid w:val="759ACF37"/>
    <w:rsid w:val="778B6FD2"/>
    <w:rsid w:val="79CCEDAD"/>
    <w:rsid w:val="7A3113FE"/>
    <w:rsid w:val="7A5284BF"/>
    <w:rsid w:val="7A8FBEDD"/>
    <w:rsid w:val="7AC31094"/>
    <w:rsid w:val="7ACED1F0"/>
    <w:rsid w:val="7B221498"/>
    <w:rsid w:val="7B978EEE"/>
    <w:rsid w:val="7C92C154"/>
    <w:rsid w:val="7D08BA5C"/>
    <w:rsid w:val="7D472840"/>
    <w:rsid w:val="7DF728C4"/>
    <w:rsid w:val="7E20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FC751"/>
  <w15:chartTrackingRefBased/>
  <w15:docId w15:val="{2D94758B-1D14-4425-9A93-7F9A3972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B3B"/>
    <w:pPr>
      <w:spacing w:after="240" w:line="271" w:lineRule="auto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207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07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07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7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7C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04CA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C7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C71F3"/>
  </w:style>
  <w:style w:type="paragraph" w:styleId="Stopka">
    <w:name w:val="footer"/>
    <w:basedOn w:val="Normalny"/>
    <w:link w:val="StopkaZnak"/>
    <w:uiPriority w:val="99"/>
    <w:unhideWhenUsed/>
    <w:rsid w:val="002C7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1F3"/>
  </w:style>
  <w:style w:type="character" w:customStyle="1" w:styleId="TekstkomentarzaZnak1">
    <w:name w:val="Tekst komentarza Znak1"/>
    <w:uiPriority w:val="99"/>
    <w:semiHidden/>
    <w:rsid w:val="0037180F"/>
    <w:rPr>
      <w:kern w:val="1"/>
      <w:lang w:eastAsia="ar-SA"/>
    </w:rPr>
  </w:style>
  <w:style w:type="paragraph" w:styleId="Poprawka">
    <w:name w:val="Revision"/>
    <w:hidden/>
    <w:uiPriority w:val="99"/>
    <w:semiHidden/>
    <w:rsid w:val="00963B80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qFormat/>
    <w:locked/>
    <w:rsid w:val="008419FF"/>
  </w:style>
  <w:style w:type="table" w:styleId="Tabela-Siatka">
    <w:name w:val="Table Grid"/>
    <w:basedOn w:val="Standardowy"/>
    <w:uiPriority w:val="39"/>
    <w:rsid w:val="00CD2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k">
    <w:name w:val="Brak"/>
    <w:rsid w:val="009E231D"/>
  </w:style>
  <w:style w:type="paragraph" w:customStyle="1" w:styleId="Normalny2">
    <w:name w:val="Normalny 2"/>
    <w:basedOn w:val="Normalny"/>
    <w:link w:val="Normalny2Znak"/>
    <w:autoRedefine/>
    <w:qFormat/>
    <w:rsid w:val="00106AF3"/>
    <w:pPr>
      <w:tabs>
        <w:tab w:val="left" w:pos="1068"/>
      </w:tabs>
      <w:spacing w:before="320" w:after="0"/>
      <w:contextualSpacing/>
    </w:pPr>
    <w:rPr>
      <w:rFonts w:ascii="Calibri" w:hAnsi="Calibri" w:cs="Calibri"/>
      <w:b/>
      <w:bCs/>
      <w:lang w:eastAsia="pl-PL"/>
    </w:rPr>
  </w:style>
  <w:style w:type="character" w:customStyle="1" w:styleId="Normalny2Znak">
    <w:name w:val="Normalny 2 Znak"/>
    <w:basedOn w:val="Domylnaczcionkaakapitu"/>
    <w:link w:val="Normalny2"/>
    <w:rsid w:val="00106AF3"/>
    <w:rPr>
      <w:rFonts w:ascii="Calibri" w:hAnsi="Calibri" w:cs="Calibri"/>
      <w:b/>
      <w:bCs/>
      <w:sz w:val="24"/>
      <w:lang w:eastAsia="pl-PL"/>
    </w:rPr>
  </w:style>
  <w:style w:type="paragraph" w:customStyle="1" w:styleId="Normalny3">
    <w:name w:val="Normalny 3"/>
    <w:basedOn w:val="Normalny"/>
    <w:link w:val="Normalny3Znak"/>
    <w:autoRedefine/>
    <w:qFormat/>
    <w:rsid w:val="002F149B"/>
    <w:pPr>
      <w:spacing w:before="320" w:after="160"/>
      <w:ind w:left="425"/>
      <w:jc w:val="center"/>
    </w:pPr>
    <w:rPr>
      <w:rFonts w:eastAsia="Times New Roman" w:cstheme="minorHAnsi"/>
      <w:b/>
      <w:bCs/>
      <w:szCs w:val="24"/>
      <w:lang w:eastAsia="pl-PL"/>
    </w:rPr>
  </w:style>
  <w:style w:type="paragraph" w:customStyle="1" w:styleId="Lista1">
    <w:name w:val="Lista 1."/>
    <w:basedOn w:val="Normalny"/>
    <w:autoRedefine/>
    <w:qFormat/>
    <w:rsid w:val="002F149B"/>
    <w:pPr>
      <w:numPr>
        <w:numId w:val="16"/>
      </w:numPr>
      <w:spacing w:before="160" w:after="0"/>
      <w:ind w:left="714" w:hanging="357"/>
    </w:pPr>
    <w:rPr>
      <w:rFonts w:cstheme="minorHAnsi"/>
      <w:szCs w:val="24"/>
    </w:rPr>
  </w:style>
  <w:style w:type="character" w:customStyle="1" w:styleId="Normalny3Znak">
    <w:name w:val="Normalny 3 Znak"/>
    <w:basedOn w:val="Domylnaczcionkaakapitu"/>
    <w:link w:val="Normalny3"/>
    <w:rsid w:val="002F149B"/>
    <w:rPr>
      <w:rFonts w:eastAsia="Times New Roman" w:cstheme="minorHAnsi"/>
      <w:b/>
      <w:bCs/>
      <w:sz w:val="24"/>
      <w:szCs w:val="24"/>
      <w:lang w:eastAsia="pl-PL"/>
    </w:rPr>
  </w:style>
  <w:style w:type="paragraph" w:customStyle="1" w:styleId="Czerwony">
    <w:name w:val="Czerwony"/>
    <w:basedOn w:val="Normalny"/>
    <w:link w:val="CzerwonyZnak"/>
    <w:autoRedefine/>
    <w:qFormat/>
    <w:rsid w:val="00393178"/>
    <w:pPr>
      <w:spacing w:before="240" w:after="120"/>
    </w:pPr>
    <w:rPr>
      <w:rFonts w:ascii="Calibri" w:hAnsi="Calibri" w:cs="Calibri"/>
      <w:b/>
      <w:bCs/>
      <w:color w:val="C00000"/>
      <w:sz w:val="22"/>
    </w:rPr>
  </w:style>
  <w:style w:type="character" w:customStyle="1" w:styleId="CzerwonyZnak">
    <w:name w:val="Czerwony Znak"/>
    <w:basedOn w:val="Domylnaczcionkaakapitu"/>
    <w:link w:val="Czerwony"/>
    <w:rsid w:val="00393178"/>
    <w:rPr>
      <w:rFonts w:ascii="Calibri" w:hAnsi="Calibri" w:cs="Calibri"/>
      <w:b/>
      <w:bCs/>
      <w:color w:val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7ff54e-821f-4ec0-8927-d288ae475781" xsi:nil="true"/>
    <lcf76f155ced4ddcb4097134ff3c332f xmlns="74e23e28-9fee-4b80-8439-90d7ed80150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0F87BA90DEEE4B8A9791231E76A504" ma:contentTypeVersion="8" ma:contentTypeDescription="Utwórz nowy dokument." ma:contentTypeScope="" ma:versionID="5620a49735ce478546162ae8da527bc4">
  <xsd:schema xmlns:xsd="http://www.w3.org/2001/XMLSchema" xmlns:xs="http://www.w3.org/2001/XMLSchema" xmlns:p="http://schemas.microsoft.com/office/2006/metadata/properties" xmlns:ns2="74e23e28-9fee-4b80-8439-90d7ed80150a" xmlns:ns3="297ff54e-821f-4ec0-8927-d288ae475781" targetNamespace="http://schemas.microsoft.com/office/2006/metadata/properties" ma:root="true" ma:fieldsID="5ebea165a729b97f71d188f9ed162db3" ns2:_="" ns3:_="">
    <xsd:import namespace="74e23e28-9fee-4b80-8439-90d7ed80150a"/>
    <xsd:import namespace="297ff54e-821f-4ec0-8927-d288ae475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23e28-9fee-4b80-8439-90d7ed801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cef6ea6a-32fd-40c8-8d1a-0d4b96b64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ff54e-821f-4ec0-8927-d288ae4757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1832f5-5151-45cf-aab0-18a827e4e1df}" ma:internalName="TaxCatchAll" ma:showField="CatchAllData" ma:web="297ff54e-821f-4ec0-8927-d288ae475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7631A-C16F-42AF-8EE7-6DC79DBC3803}">
  <ds:schemaRefs>
    <ds:schemaRef ds:uri="http://schemas.microsoft.com/office/2006/metadata/properties"/>
    <ds:schemaRef ds:uri="http://schemas.microsoft.com/office/infopath/2007/PartnerControls"/>
    <ds:schemaRef ds:uri="297ff54e-821f-4ec0-8927-d288ae475781"/>
    <ds:schemaRef ds:uri="74e23e28-9fee-4b80-8439-90d7ed80150a"/>
  </ds:schemaRefs>
</ds:datastoreItem>
</file>

<file path=customXml/itemProps2.xml><?xml version="1.0" encoding="utf-8"?>
<ds:datastoreItem xmlns:ds="http://schemas.openxmlformats.org/officeDocument/2006/customXml" ds:itemID="{08AB7AB0-91DD-4214-9166-258AB1E88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23e28-9fee-4b80-8439-90d7ed80150a"/>
    <ds:schemaRef ds:uri="297ff54e-821f-4ec0-8927-d288ae475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3EF08F-75ED-41B4-AF65-8F695A2296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685EC4-F9CA-4DFE-8409-FEA4ECA73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1843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Barbara Łabudzka</dc:creator>
  <cp:keywords/>
  <dc:description/>
  <cp:lastModifiedBy>Marlena Jóźwiak-Tęsiorowska</cp:lastModifiedBy>
  <cp:revision>19</cp:revision>
  <cp:lastPrinted>2020-07-02T11:57:00Z</cp:lastPrinted>
  <dcterms:created xsi:type="dcterms:W3CDTF">2023-04-18T10:57:00Z</dcterms:created>
  <dcterms:modified xsi:type="dcterms:W3CDTF">2023-09-12T09:36:00Z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0x010100FA0F87BA90DEEE4B8A9791231E76A504</vt:lpwstr>
  </property>
  <property fmtid="{D5CDD505-2E9C-101B-9397-08002B2CF9AE}" pid="3" name="MediaServiceImageTags">
    <vt:lpwstr/>
  </property>
</Properties>
</file>