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7D" w:rsidRPr="006B47D3" w:rsidRDefault="003F1263" w:rsidP="00CC712A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6B47D3">
        <w:rPr>
          <w:rFonts w:ascii="Arial" w:hAnsi="Arial" w:cs="Arial"/>
          <w:b/>
          <w:sz w:val="32"/>
          <w:szCs w:val="32"/>
        </w:rPr>
        <w:t>Wymagania</w:t>
      </w:r>
      <w:r w:rsidR="005C5C7D" w:rsidRPr="006B47D3">
        <w:rPr>
          <w:rFonts w:ascii="Arial" w:hAnsi="Arial" w:cs="Arial"/>
          <w:b/>
          <w:sz w:val="32"/>
          <w:szCs w:val="32"/>
        </w:rPr>
        <w:t xml:space="preserve"> lokalnych serwerowni </w:t>
      </w:r>
    </w:p>
    <w:p w:rsidR="005C5C7D" w:rsidRPr="006C1170" w:rsidRDefault="005C5C7D" w:rsidP="006C1170">
      <w:pPr>
        <w:pStyle w:val="Akapitzlist"/>
        <w:spacing w:after="0" w:line="276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6C1170">
        <w:rPr>
          <w:rFonts w:ascii="Arial" w:hAnsi="Arial" w:cs="Arial"/>
          <w:sz w:val="24"/>
          <w:szCs w:val="24"/>
        </w:rPr>
        <w:t>(nie dotyczy centrów przetwarzania danych)</w:t>
      </w:r>
    </w:p>
    <w:p w:rsidR="006C1170" w:rsidRPr="006C1170" w:rsidRDefault="006C1170" w:rsidP="006C1170">
      <w:pPr>
        <w:pStyle w:val="Nagwek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170">
        <w:rPr>
          <w:rFonts w:ascii="Arial" w:hAnsi="Arial" w:cs="Arial"/>
          <w:sz w:val="24"/>
          <w:szCs w:val="24"/>
        </w:rPr>
        <w:t xml:space="preserve">na podstawie </w:t>
      </w:r>
      <w:r w:rsidRPr="006C1170">
        <w:rPr>
          <w:rFonts w:ascii="Arial" w:hAnsi="Arial" w:cs="Arial"/>
          <w:b/>
          <w:i/>
          <w:sz w:val="24"/>
          <w:szCs w:val="24"/>
        </w:rPr>
        <w:t>Załącznik</w:t>
      </w:r>
      <w:r w:rsidRPr="006C1170">
        <w:rPr>
          <w:rFonts w:ascii="Arial" w:hAnsi="Arial" w:cs="Arial"/>
          <w:b/>
          <w:i/>
          <w:sz w:val="24"/>
          <w:szCs w:val="24"/>
        </w:rPr>
        <w:t xml:space="preserve">a </w:t>
      </w:r>
      <w:r w:rsidRPr="006C1170">
        <w:rPr>
          <w:rFonts w:ascii="Arial" w:hAnsi="Arial" w:cs="Arial"/>
          <w:b/>
          <w:i/>
          <w:sz w:val="24"/>
          <w:szCs w:val="24"/>
        </w:rPr>
        <w:t xml:space="preserve"> nr 7</w:t>
      </w:r>
      <w:r w:rsidRPr="006C1170">
        <w:rPr>
          <w:rFonts w:ascii="Arial" w:hAnsi="Arial" w:cs="Arial"/>
          <w:i/>
          <w:sz w:val="24"/>
          <w:szCs w:val="24"/>
        </w:rPr>
        <w:t xml:space="preserve"> do „Wytycznych prowadzenia robót budowlanych</w:t>
      </w:r>
      <w:r w:rsidRPr="006C117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 w:rsidRPr="006C1170">
        <w:rPr>
          <w:rFonts w:ascii="Arial" w:hAnsi="Arial" w:cs="Arial"/>
          <w:i/>
          <w:sz w:val="24"/>
          <w:szCs w:val="24"/>
        </w:rPr>
        <w:t>w Państwowym Gospodarstwie Leśnym Lasy Państwowe”</w:t>
      </w:r>
      <w:r w:rsidRPr="006C1170">
        <w:rPr>
          <w:rFonts w:ascii="Arial" w:hAnsi="Arial" w:cs="Arial"/>
          <w:i/>
          <w:sz w:val="24"/>
          <w:szCs w:val="24"/>
        </w:rPr>
        <w:t xml:space="preserve"> </w:t>
      </w:r>
      <w:r w:rsidRPr="006C1170">
        <w:rPr>
          <w:rFonts w:ascii="Arial" w:hAnsi="Arial" w:cs="Arial"/>
          <w:i/>
          <w:sz w:val="24"/>
          <w:szCs w:val="24"/>
        </w:rPr>
        <w:t xml:space="preserve">wprowadzonych Zarządzeniem nr 48/2020 </w:t>
      </w:r>
      <w:r w:rsidRPr="006C1170">
        <w:rPr>
          <w:rFonts w:ascii="Arial" w:hAnsi="Arial" w:cs="Arial"/>
          <w:i/>
          <w:sz w:val="24"/>
          <w:szCs w:val="24"/>
        </w:rPr>
        <w:t xml:space="preserve">Dyrektora Generalnego Lasów państwowych </w:t>
      </w:r>
      <w:r w:rsidRPr="006C1170">
        <w:rPr>
          <w:rFonts w:ascii="Arial" w:hAnsi="Arial" w:cs="Arial"/>
          <w:i/>
          <w:sz w:val="24"/>
          <w:szCs w:val="24"/>
        </w:rPr>
        <w:t xml:space="preserve">z dnia </w:t>
      </w:r>
      <w:r>
        <w:rPr>
          <w:rFonts w:ascii="Arial" w:hAnsi="Arial" w:cs="Arial"/>
          <w:i/>
          <w:sz w:val="24"/>
          <w:szCs w:val="24"/>
        </w:rPr>
        <w:br/>
      </w:r>
      <w:r w:rsidRPr="006C1170">
        <w:rPr>
          <w:rFonts w:ascii="Arial" w:hAnsi="Arial" w:cs="Arial"/>
          <w:i/>
          <w:sz w:val="24"/>
          <w:szCs w:val="24"/>
        </w:rPr>
        <w:t>1 września 2020 r.</w:t>
      </w:r>
    </w:p>
    <w:p w:rsidR="006C1170" w:rsidRDefault="006C1170" w:rsidP="00CC712A">
      <w:pPr>
        <w:pStyle w:val="Akapitzlist"/>
        <w:spacing w:after="0" w:line="24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5C7D" w:rsidRPr="003F1263" w:rsidRDefault="005C5C7D" w:rsidP="00CC712A">
      <w:pPr>
        <w:pStyle w:val="Akapitzlist"/>
        <w:spacing w:after="0" w:line="240" w:lineRule="auto"/>
        <w:ind w:left="284"/>
        <w:jc w:val="both"/>
        <w:rPr>
          <w:rFonts w:ascii="Arial" w:hAnsi="Arial" w:cs="Arial"/>
          <w:szCs w:val="24"/>
        </w:rPr>
      </w:pPr>
    </w:p>
    <w:p w:rsidR="0097286C" w:rsidRPr="0002022A" w:rsidRDefault="0097286C" w:rsidP="000857B4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Przedstawione wymagania są wymaganiami minimalnymi i zawsze przed zakupem/instalacją nowego urządzenia należy zweryfikować wymagania producenta danego sprzętu parametrami funkcjonalnymi pomieszczenia instalacji urządzenia.</w:t>
      </w:r>
    </w:p>
    <w:p w:rsidR="00757E7F" w:rsidRPr="0002022A" w:rsidRDefault="00757E7F" w:rsidP="000857B4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W przypadku przetwarzania danych osobowych/wrażliwych w pomieszczeniach należy dodatkowo uwzględnić wymogi dla miejsc przetwarzania danych osobowych/wrażliwych.</w:t>
      </w:r>
    </w:p>
    <w:p w:rsidR="003A205D" w:rsidRPr="0002022A" w:rsidRDefault="003A205D" w:rsidP="000857B4">
      <w:pPr>
        <w:pStyle w:val="Akapitzlist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Podział ze względów funkcjonalny ze względu na posiadany sprzęt:</w:t>
      </w:r>
    </w:p>
    <w:p w:rsidR="001D5716" w:rsidRPr="003F1263" w:rsidRDefault="001D5716" w:rsidP="000857B4">
      <w:pPr>
        <w:pStyle w:val="Akapitzlist"/>
        <w:numPr>
          <w:ilvl w:val="0"/>
          <w:numId w:val="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F1263">
        <w:rPr>
          <w:rFonts w:ascii="Arial" w:hAnsi="Arial" w:cs="Arial"/>
          <w:sz w:val="24"/>
          <w:szCs w:val="24"/>
        </w:rPr>
        <w:t xml:space="preserve">Węzeł </w:t>
      </w:r>
      <w:r w:rsidR="009349DE" w:rsidRPr="003F1263">
        <w:rPr>
          <w:rFonts w:ascii="Arial" w:hAnsi="Arial" w:cs="Arial"/>
          <w:sz w:val="24"/>
          <w:szCs w:val="24"/>
        </w:rPr>
        <w:t>teleinformatyczny</w:t>
      </w:r>
      <w:r w:rsidRPr="003F1263">
        <w:rPr>
          <w:rFonts w:ascii="Arial" w:hAnsi="Arial" w:cs="Arial"/>
          <w:sz w:val="24"/>
          <w:szCs w:val="24"/>
        </w:rPr>
        <w:t xml:space="preserve"> – miejsce gdzie nie występuje przechowywanie danych.</w:t>
      </w:r>
      <w:r w:rsidR="003F1263">
        <w:rPr>
          <w:rFonts w:ascii="Arial" w:hAnsi="Arial" w:cs="Arial"/>
          <w:sz w:val="24"/>
          <w:szCs w:val="24"/>
        </w:rPr>
        <w:t xml:space="preserve"> </w:t>
      </w:r>
      <w:r w:rsidRPr="003F1263">
        <w:rPr>
          <w:rFonts w:ascii="Arial" w:hAnsi="Arial" w:cs="Arial"/>
          <w:sz w:val="24"/>
          <w:szCs w:val="24"/>
        </w:rPr>
        <w:t>np. znajdują się tam routery, przełączniki Ethernet.</w:t>
      </w:r>
    </w:p>
    <w:p w:rsidR="001D5716" w:rsidRPr="003F1263" w:rsidRDefault="001D5716" w:rsidP="000857B4">
      <w:pPr>
        <w:pStyle w:val="Akapitzlist"/>
        <w:numPr>
          <w:ilvl w:val="0"/>
          <w:numId w:val="1"/>
        </w:numPr>
        <w:spacing w:after="0" w:line="276" w:lineRule="auto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Serwerownia – miejsce gdzie gromadzimy dane w wersji elektronicznej</w:t>
      </w:r>
      <w:r w:rsidRPr="0002022A">
        <w:rPr>
          <w:rFonts w:ascii="Arial" w:hAnsi="Arial" w:cs="Arial"/>
          <w:sz w:val="24"/>
          <w:szCs w:val="24"/>
        </w:rPr>
        <w:br/>
      </w:r>
      <w:r w:rsidRPr="003F1263">
        <w:rPr>
          <w:rFonts w:ascii="Arial" w:hAnsi="Arial" w:cs="Arial"/>
          <w:spacing w:val="-4"/>
          <w:sz w:val="24"/>
          <w:szCs w:val="24"/>
        </w:rPr>
        <w:t>np. znajdują się tam serwery, macierze, dyski sieciowe, rejestratory obrazu itp.</w:t>
      </w:r>
    </w:p>
    <w:p w:rsidR="001D5716" w:rsidRPr="0002022A" w:rsidRDefault="000857B4" w:rsidP="000857B4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5716" w:rsidRPr="0002022A">
        <w:rPr>
          <w:rFonts w:ascii="Arial" w:hAnsi="Arial" w:cs="Arial"/>
          <w:sz w:val="24"/>
          <w:szCs w:val="24"/>
        </w:rPr>
        <w:t>Wymagania wspólne</w:t>
      </w:r>
      <w:r w:rsidR="009349DE" w:rsidRPr="0002022A">
        <w:rPr>
          <w:rFonts w:ascii="Arial" w:hAnsi="Arial" w:cs="Arial"/>
          <w:sz w:val="24"/>
          <w:szCs w:val="24"/>
        </w:rPr>
        <w:t xml:space="preserve"> dla węzła teleinformatycznego i serwerowni</w:t>
      </w:r>
      <w:r w:rsidR="001D5716" w:rsidRPr="0002022A">
        <w:rPr>
          <w:rFonts w:ascii="Arial" w:hAnsi="Arial" w:cs="Arial"/>
          <w:sz w:val="24"/>
          <w:szCs w:val="24"/>
        </w:rPr>
        <w:t>:</w:t>
      </w:r>
    </w:p>
    <w:p w:rsidR="0071242A" w:rsidRPr="0002022A" w:rsidRDefault="003B24CE" w:rsidP="000857B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 xml:space="preserve">Na węzeł </w:t>
      </w:r>
      <w:r w:rsidR="008504B8" w:rsidRPr="0002022A">
        <w:rPr>
          <w:rFonts w:ascii="Arial" w:hAnsi="Arial" w:cs="Arial"/>
          <w:sz w:val="24"/>
          <w:szCs w:val="24"/>
        </w:rPr>
        <w:t>tele</w:t>
      </w:r>
      <w:r w:rsidRPr="0002022A">
        <w:rPr>
          <w:rFonts w:ascii="Arial" w:hAnsi="Arial" w:cs="Arial"/>
          <w:sz w:val="24"/>
          <w:szCs w:val="24"/>
        </w:rPr>
        <w:t>komunikacyjny i serwerownię jako na miejsca klasyfikowane jako nie przeznaczone na stały pobyt ludzi</w:t>
      </w:r>
      <w:r w:rsidR="003F1263">
        <w:rPr>
          <w:rFonts w:ascii="Arial" w:hAnsi="Arial" w:cs="Arial"/>
          <w:sz w:val="24"/>
          <w:szCs w:val="24"/>
        </w:rPr>
        <w:t>,</w:t>
      </w:r>
      <w:r w:rsidRPr="0002022A">
        <w:rPr>
          <w:rFonts w:ascii="Arial" w:hAnsi="Arial" w:cs="Arial"/>
          <w:sz w:val="24"/>
          <w:szCs w:val="24"/>
        </w:rPr>
        <w:t xml:space="preserve"> mogą być używane pomieszczenia spełniające wymagania pomieszczeń technicznych.</w:t>
      </w:r>
    </w:p>
    <w:p w:rsidR="003B24CE" w:rsidRPr="0002022A" w:rsidRDefault="0077779C" w:rsidP="000857B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 xml:space="preserve">Kondygnacja. </w:t>
      </w:r>
    </w:p>
    <w:p w:rsidR="0077779C" w:rsidRPr="0002022A" w:rsidRDefault="0077779C" w:rsidP="000857B4">
      <w:p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Poziom podłogi serwerowni musi być ponad poziom</w:t>
      </w:r>
      <w:r w:rsidR="003F1263">
        <w:rPr>
          <w:rFonts w:ascii="Arial" w:hAnsi="Arial" w:cs="Arial"/>
          <w:sz w:val="24"/>
          <w:szCs w:val="24"/>
        </w:rPr>
        <w:t>em</w:t>
      </w:r>
      <w:r w:rsidRPr="0002022A">
        <w:rPr>
          <w:rFonts w:ascii="Arial" w:hAnsi="Arial" w:cs="Arial"/>
          <w:sz w:val="24"/>
          <w:szCs w:val="24"/>
        </w:rPr>
        <w:t xml:space="preserve"> gruntu, aby nie dopuszczać do możliwego zalania. Dodatkowo należy przewidzieć aby ciągi komunikacyjne do pomieszczenia serwerowni umożliwiały transport przewidywanych urządzeń oraz wyposażenia. </w:t>
      </w:r>
      <w:r w:rsidR="003F1263">
        <w:rPr>
          <w:rFonts w:ascii="Arial" w:hAnsi="Arial" w:cs="Arial"/>
          <w:sz w:val="24"/>
          <w:szCs w:val="24"/>
        </w:rPr>
        <w:t>n</w:t>
      </w:r>
      <w:r w:rsidRPr="0002022A">
        <w:rPr>
          <w:rFonts w:ascii="Arial" w:hAnsi="Arial" w:cs="Arial"/>
          <w:sz w:val="24"/>
          <w:szCs w:val="24"/>
        </w:rPr>
        <w:t>p. możliwość wniesienia szafy rack</w:t>
      </w:r>
      <w:r w:rsidR="003F1263">
        <w:rPr>
          <w:rFonts w:ascii="Arial" w:hAnsi="Arial" w:cs="Arial"/>
          <w:sz w:val="24"/>
          <w:szCs w:val="24"/>
        </w:rPr>
        <w:t>, UPS itp.</w:t>
      </w:r>
    </w:p>
    <w:p w:rsidR="0077779C" w:rsidRPr="0002022A" w:rsidRDefault="0097286C" w:rsidP="000857B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Parametry środowiskowe</w:t>
      </w:r>
      <w:r w:rsidR="003F1263">
        <w:rPr>
          <w:rFonts w:ascii="Arial" w:hAnsi="Arial" w:cs="Arial"/>
          <w:sz w:val="24"/>
          <w:szCs w:val="24"/>
        </w:rPr>
        <w:t>:</w:t>
      </w:r>
    </w:p>
    <w:p w:rsidR="0097286C" w:rsidRPr="0002022A" w:rsidRDefault="003F1263" w:rsidP="000857B4">
      <w:pPr>
        <w:pStyle w:val="Akapitzlist"/>
        <w:numPr>
          <w:ilvl w:val="1"/>
          <w:numId w:val="2"/>
        </w:numPr>
        <w:spacing w:after="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7286C" w:rsidRPr="0002022A">
        <w:rPr>
          <w:rFonts w:ascii="Arial" w:hAnsi="Arial" w:cs="Arial"/>
          <w:sz w:val="24"/>
          <w:szCs w:val="24"/>
        </w:rPr>
        <w:t>iepło</w:t>
      </w:r>
      <w:r w:rsidR="00F72913" w:rsidRPr="0002022A">
        <w:rPr>
          <w:rFonts w:ascii="Arial" w:hAnsi="Arial" w:cs="Arial"/>
          <w:sz w:val="24"/>
          <w:szCs w:val="24"/>
        </w:rPr>
        <w:t xml:space="preserve"> </w:t>
      </w:r>
      <w:r w:rsidR="00B2437B" w:rsidRPr="0002022A">
        <w:rPr>
          <w:rFonts w:ascii="Arial" w:hAnsi="Arial" w:cs="Arial"/>
          <w:sz w:val="24"/>
          <w:szCs w:val="24"/>
        </w:rPr>
        <w:t>– w pomieszczeniu należy zapewnić temperaturę w granicach 18-27°C</w:t>
      </w:r>
      <w:r>
        <w:rPr>
          <w:rFonts w:ascii="Arial" w:hAnsi="Arial" w:cs="Arial"/>
          <w:sz w:val="24"/>
          <w:szCs w:val="24"/>
        </w:rPr>
        <w:t>,</w:t>
      </w:r>
    </w:p>
    <w:p w:rsidR="0097286C" w:rsidRPr="0002022A" w:rsidRDefault="003F1263" w:rsidP="000857B4">
      <w:pPr>
        <w:pStyle w:val="Akapitzlist"/>
        <w:numPr>
          <w:ilvl w:val="1"/>
          <w:numId w:val="2"/>
        </w:numPr>
        <w:spacing w:after="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7286C" w:rsidRPr="0002022A">
        <w:rPr>
          <w:rFonts w:ascii="Arial" w:hAnsi="Arial" w:cs="Arial"/>
          <w:sz w:val="24"/>
          <w:szCs w:val="24"/>
        </w:rPr>
        <w:t>ilgotność</w:t>
      </w:r>
      <w:r w:rsidR="00F72913" w:rsidRPr="00020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9A57DB" w:rsidRPr="0002022A">
        <w:rPr>
          <w:rFonts w:ascii="Arial" w:hAnsi="Arial" w:cs="Arial"/>
          <w:sz w:val="24"/>
          <w:szCs w:val="24"/>
        </w:rPr>
        <w:t xml:space="preserve"> </w:t>
      </w:r>
      <w:r w:rsidR="00BC3FB2" w:rsidRPr="0002022A">
        <w:rPr>
          <w:rFonts w:ascii="Arial" w:hAnsi="Arial" w:cs="Arial"/>
          <w:sz w:val="24"/>
          <w:szCs w:val="24"/>
        </w:rPr>
        <w:t>minimalna</w:t>
      </w:r>
      <w:r w:rsidR="00F72913" w:rsidRPr="0002022A">
        <w:rPr>
          <w:rFonts w:ascii="Arial" w:hAnsi="Arial" w:cs="Arial"/>
          <w:sz w:val="24"/>
          <w:szCs w:val="24"/>
        </w:rPr>
        <w:t xml:space="preserve"> wilgotność</w:t>
      </w:r>
      <w:r>
        <w:rPr>
          <w:rFonts w:ascii="Arial" w:hAnsi="Arial" w:cs="Arial"/>
          <w:sz w:val="24"/>
          <w:szCs w:val="24"/>
        </w:rPr>
        <w:t xml:space="preserve"> </w:t>
      </w:r>
      <w:r w:rsidR="00F72913" w:rsidRPr="0002022A">
        <w:rPr>
          <w:rFonts w:ascii="Arial" w:hAnsi="Arial" w:cs="Arial"/>
          <w:sz w:val="24"/>
          <w:szCs w:val="24"/>
        </w:rPr>
        <w:t>na poziomie 5,5°C temperatu</w:t>
      </w:r>
      <w:r w:rsidR="00BC3FB2" w:rsidRPr="0002022A">
        <w:rPr>
          <w:rFonts w:ascii="Arial" w:hAnsi="Arial" w:cs="Arial"/>
          <w:sz w:val="24"/>
          <w:szCs w:val="24"/>
        </w:rPr>
        <w:t>ry punktu rosy (DP) i maksymalna</w:t>
      </w:r>
      <w:r>
        <w:rPr>
          <w:rFonts w:ascii="Arial" w:hAnsi="Arial" w:cs="Arial"/>
          <w:sz w:val="24"/>
          <w:szCs w:val="24"/>
        </w:rPr>
        <w:t xml:space="preserve"> </w:t>
      </w:r>
      <w:r w:rsidR="00F72913" w:rsidRPr="0002022A">
        <w:rPr>
          <w:rFonts w:ascii="Arial" w:hAnsi="Arial" w:cs="Arial"/>
          <w:sz w:val="24"/>
          <w:szCs w:val="24"/>
        </w:rPr>
        <w:t>60%</w:t>
      </w:r>
      <w:r>
        <w:rPr>
          <w:rFonts w:ascii="Arial" w:hAnsi="Arial" w:cs="Arial"/>
          <w:sz w:val="24"/>
          <w:szCs w:val="24"/>
        </w:rPr>
        <w:t xml:space="preserve"> </w:t>
      </w:r>
      <w:r w:rsidR="00F72913" w:rsidRPr="0002022A">
        <w:rPr>
          <w:rFonts w:ascii="Arial" w:hAnsi="Arial" w:cs="Arial"/>
          <w:sz w:val="24"/>
          <w:szCs w:val="24"/>
        </w:rPr>
        <w:t>RH</w:t>
      </w:r>
      <w:r w:rsidR="00BC3FB2" w:rsidRPr="0002022A">
        <w:rPr>
          <w:rFonts w:ascii="Arial" w:hAnsi="Arial" w:cs="Arial"/>
          <w:sz w:val="24"/>
          <w:szCs w:val="24"/>
        </w:rPr>
        <w:t xml:space="preserve"> (wilgotność względna)</w:t>
      </w:r>
      <w:r w:rsidR="00F72913" w:rsidRPr="0002022A">
        <w:rPr>
          <w:rFonts w:ascii="Arial" w:hAnsi="Arial" w:cs="Arial"/>
          <w:sz w:val="24"/>
          <w:szCs w:val="24"/>
        </w:rPr>
        <w:t xml:space="preserve"> lub 15°C temperatury punktu rosy (DP)</w:t>
      </w:r>
      <w:r>
        <w:rPr>
          <w:rFonts w:ascii="Arial" w:hAnsi="Arial" w:cs="Arial"/>
          <w:sz w:val="24"/>
          <w:szCs w:val="24"/>
        </w:rPr>
        <w:t>,</w:t>
      </w:r>
    </w:p>
    <w:p w:rsidR="00462B70" w:rsidRPr="0002022A" w:rsidRDefault="003F1263" w:rsidP="000857B4">
      <w:pPr>
        <w:pStyle w:val="Akapitzlist"/>
        <w:spacing w:after="0" w:line="276" w:lineRule="auto"/>
        <w:ind w:left="1440" w:firstLine="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</w:t>
      </w:r>
      <w:r w:rsidR="00BC3FB2" w:rsidRPr="0002022A">
        <w:rPr>
          <w:rFonts w:ascii="Arial" w:hAnsi="Arial" w:cs="Arial"/>
          <w:sz w:val="24"/>
          <w:szCs w:val="24"/>
        </w:rPr>
        <w:t>. jeżeli utrzymujemy</w:t>
      </w:r>
      <w:r w:rsidR="00462B70" w:rsidRPr="0002022A">
        <w:rPr>
          <w:rFonts w:ascii="Arial" w:hAnsi="Arial" w:cs="Arial"/>
          <w:sz w:val="24"/>
          <w:szCs w:val="24"/>
        </w:rPr>
        <w:t xml:space="preserve"> temperaturę w granicach:</w:t>
      </w:r>
    </w:p>
    <w:p w:rsidR="00462B70" w:rsidRPr="0002022A" w:rsidRDefault="0078709A" w:rsidP="000857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19-21</w:t>
      </w:r>
      <w:r w:rsidR="00462B70" w:rsidRPr="0002022A">
        <w:rPr>
          <w:rFonts w:ascii="Arial" w:hAnsi="Arial" w:cs="Arial"/>
          <w:sz w:val="24"/>
          <w:szCs w:val="24"/>
        </w:rPr>
        <w:t xml:space="preserve">°C to RH musi zawierać się w przedziale </w:t>
      </w:r>
      <w:r w:rsidRPr="0002022A">
        <w:rPr>
          <w:rFonts w:ascii="Arial" w:hAnsi="Arial" w:cs="Arial"/>
          <w:sz w:val="24"/>
          <w:szCs w:val="24"/>
        </w:rPr>
        <w:t>40-68</w:t>
      </w:r>
      <w:r w:rsidR="00462B70" w:rsidRPr="0002022A">
        <w:rPr>
          <w:rFonts w:ascii="Arial" w:hAnsi="Arial" w:cs="Arial"/>
          <w:sz w:val="24"/>
          <w:szCs w:val="24"/>
        </w:rPr>
        <w:t>%</w:t>
      </w:r>
      <w:r w:rsidR="003F1263">
        <w:rPr>
          <w:rFonts w:ascii="Arial" w:hAnsi="Arial" w:cs="Arial"/>
          <w:sz w:val="24"/>
          <w:szCs w:val="24"/>
        </w:rPr>
        <w:t>,</w:t>
      </w:r>
      <w:r w:rsidR="00462B70" w:rsidRPr="0002022A">
        <w:rPr>
          <w:rFonts w:ascii="Arial" w:hAnsi="Arial" w:cs="Arial"/>
          <w:sz w:val="24"/>
          <w:szCs w:val="24"/>
        </w:rPr>
        <w:tab/>
      </w:r>
    </w:p>
    <w:p w:rsidR="00BC3FB2" w:rsidRPr="0002022A" w:rsidRDefault="00462B70" w:rsidP="000857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2</w:t>
      </w:r>
      <w:r w:rsidR="00B2437B" w:rsidRPr="0002022A">
        <w:rPr>
          <w:rFonts w:ascii="Arial" w:hAnsi="Arial" w:cs="Arial"/>
          <w:sz w:val="24"/>
          <w:szCs w:val="24"/>
        </w:rPr>
        <w:t>1-23°C</w:t>
      </w:r>
      <w:r w:rsidR="00BC3FB2" w:rsidRPr="0002022A">
        <w:rPr>
          <w:rFonts w:ascii="Arial" w:hAnsi="Arial" w:cs="Arial"/>
          <w:sz w:val="24"/>
          <w:szCs w:val="24"/>
        </w:rPr>
        <w:t xml:space="preserve"> to RH musi zawierać się w przedziale 36-60%</w:t>
      </w:r>
      <w:r w:rsidR="003F1263">
        <w:rPr>
          <w:rFonts w:ascii="Arial" w:hAnsi="Arial" w:cs="Arial"/>
          <w:sz w:val="24"/>
          <w:szCs w:val="24"/>
        </w:rPr>
        <w:t>,</w:t>
      </w:r>
      <w:r w:rsidR="00BC3FB2" w:rsidRPr="0002022A">
        <w:rPr>
          <w:rFonts w:ascii="Arial" w:hAnsi="Arial" w:cs="Arial"/>
          <w:sz w:val="24"/>
          <w:szCs w:val="24"/>
        </w:rPr>
        <w:tab/>
      </w:r>
    </w:p>
    <w:p w:rsidR="00462B70" w:rsidRPr="0002022A" w:rsidRDefault="00462B70" w:rsidP="000857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23-25°C to RH musi zawierać się w przedziale 33-53%</w:t>
      </w:r>
      <w:r w:rsidR="003F1263">
        <w:rPr>
          <w:rFonts w:ascii="Arial" w:hAnsi="Arial" w:cs="Arial"/>
          <w:sz w:val="24"/>
          <w:szCs w:val="24"/>
        </w:rPr>
        <w:t>.</w:t>
      </w:r>
    </w:p>
    <w:p w:rsidR="00563ACA" w:rsidRPr="0002022A" w:rsidRDefault="00563ACA" w:rsidP="000857B4">
      <w:p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Jeżeli utrzymanie zadanej temperatury wymaga zastosowania urządzenia chłodzącego, to należy zapewnić redundancję chłodzenia lub powiadamianie o przekroczeniu zadanej temperatury w sposób ni</w:t>
      </w:r>
      <w:r w:rsidR="008D5F23" w:rsidRPr="0002022A">
        <w:rPr>
          <w:rFonts w:ascii="Arial" w:hAnsi="Arial" w:cs="Arial"/>
          <w:sz w:val="24"/>
          <w:szCs w:val="24"/>
        </w:rPr>
        <w:t xml:space="preserve">ezależny </w:t>
      </w:r>
      <w:r w:rsidR="008D5F23" w:rsidRPr="0002022A">
        <w:rPr>
          <w:rFonts w:ascii="Arial" w:hAnsi="Arial" w:cs="Arial"/>
          <w:sz w:val="24"/>
          <w:szCs w:val="24"/>
        </w:rPr>
        <w:lastRenderedPageBreak/>
        <w:t>od infrastruktury tele</w:t>
      </w:r>
      <w:r w:rsidRPr="0002022A">
        <w:rPr>
          <w:rFonts w:ascii="Arial" w:hAnsi="Arial" w:cs="Arial"/>
          <w:sz w:val="24"/>
          <w:szCs w:val="24"/>
        </w:rPr>
        <w:t xml:space="preserve">informatycznej serwerowni np. SMS. </w:t>
      </w:r>
      <w:r w:rsidR="006B47D3">
        <w:rPr>
          <w:rFonts w:ascii="Arial" w:hAnsi="Arial" w:cs="Arial"/>
          <w:sz w:val="24"/>
          <w:szCs w:val="24"/>
        </w:rPr>
        <w:t>Zaleca się</w:t>
      </w:r>
      <w:r w:rsidR="006B47D3" w:rsidRPr="006B47D3">
        <w:rPr>
          <w:rFonts w:ascii="Arial" w:hAnsi="Arial" w:cs="Arial"/>
          <w:sz w:val="24"/>
          <w:szCs w:val="24"/>
        </w:rPr>
        <w:t xml:space="preserve"> zastosowanie klimatyzacji</w:t>
      </w:r>
      <w:r w:rsidR="006B47D3">
        <w:rPr>
          <w:rFonts w:ascii="Arial" w:hAnsi="Arial" w:cs="Arial"/>
          <w:sz w:val="24"/>
          <w:szCs w:val="24"/>
        </w:rPr>
        <w:t xml:space="preserve"> obsługującą</w:t>
      </w:r>
      <w:r w:rsidR="006B47D3" w:rsidRPr="006B47D3">
        <w:rPr>
          <w:rFonts w:ascii="Arial" w:hAnsi="Arial" w:cs="Arial"/>
          <w:sz w:val="24"/>
          <w:szCs w:val="24"/>
        </w:rPr>
        <w:t xml:space="preserve"> wyłącznie</w:t>
      </w:r>
      <w:r w:rsidR="006B47D3">
        <w:rPr>
          <w:rFonts w:ascii="Arial" w:hAnsi="Arial" w:cs="Arial"/>
          <w:sz w:val="24"/>
          <w:szCs w:val="24"/>
        </w:rPr>
        <w:t xml:space="preserve"> pomieszczenie serwerowni i niepodłączonej</w:t>
      </w:r>
      <w:r w:rsidR="006B47D3" w:rsidRPr="006B47D3">
        <w:rPr>
          <w:rFonts w:ascii="Arial" w:hAnsi="Arial" w:cs="Arial"/>
          <w:sz w:val="24"/>
          <w:szCs w:val="24"/>
        </w:rPr>
        <w:t xml:space="preserve"> do systemu klimatyzacji całego obiektu</w:t>
      </w:r>
    </w:p>
    <w:p w:rsidR="002E1111" w:rsidRPr="0002022A" w:rsidRDefault="002E1111" w:rsidP="000857B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Podłoga antyelektrostatyczna</w:t>
      </w:r>
      <w:r w:rsidR="003369A6" w:rsidRPr="0002022A">
        <w:rPr>
          <w:rFonts w:ascii="Arial" w:hAnsi="Arial" w:cs="Arial"/>
          <w:sz w:val="24"/>
          <w:szCs w:val="24"/>
        </w:rPr>
        <w:t xml:space="preserve"> i niepalna</w:t>
      </w:r>
      <w:r w:rsidR="003F1263">
        <w:rPr>
          <w:rFonts w:ascii="Arial" w:hAnsi="Arial" w:cs="Arial"/>
          <w:sz w:val="24"/>
          <w:szCs w:val="24"/>
        </w:rPr>
        <w:t>.</w:t>
      </w:r>
    </w:p>
    <w:p w:rsidR="0077779C" w:rsidRPr="0002022A" w:rsidRDefault="00B05D37" w:rsidP="000857B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Ochrona p.poż – pomieszczenie</w:t>
      </w:r>
      <w:r w:rsidR="00A37A07">
        <w:rPr>
          <w:rFonts w:ascii="Arial" w:hAnsi="Arial" w:cs="Arial"/>
          <w:sz w:val="24"/>
          <w:szCs w:val="24"/>
        </w:rPr>
        <w:t xml:space="preserve"> musi posiadać instalację p.</w:t>
      </w:r>
      <w:r w:rsidR="003F1263">
        <w:rPr>
          <w:rFonts w:ascii="Arial" w:hAnsi="Arial" w:cs="Arial"/>
          <w:sz w:val="24"/>
          <w:szCs w:val="24"/>
        </w:rPr>
        <w:t>poż.</w:t>
      </w:r>
    </w:p>
    <w:p w:rsidR="008E177E" w:rsidRPr="0002022A" w:rsidRDefault="0097286C" w:rsidP="000857B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SSWIN</w:t>
      </w:r>
      <w:r w:rsidR="003F1263">
        <w:rPr>
          <w:rFonts w:ascii="Arial" w:hAnsi="Arial" w:cs="Arial"/>
          <w:sz w:val="24"/>
          <w:szCs w:val="24"/>
        </w:rPr>
        <w:t>.</w:t>
      </w:r>
    </w:p>
    <w:p w:rsidR="008600BC" w:rsidRPr="0002022A" w:rsidRDefault="008600BC" w:rsidP="000857B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 xml:space="preserve">zabezpieczenia fizyczne </w:t>
      </w:r>
      <w:r w:rsidR="00BE7720" w:rsidRPr="0002022A">
        <w:rPr>
          <w:rFonts w:ascii="Arial" w:hAnsi="Arial" w:cs="Arial"/>
          <w:sz w:val="24"/>
          <w:szCs w:val="24"/>
        </w:rPr>
        <w:t xml:space="preserve">muszą być </w:t>
      </w:r>
      <w:r w:rsidRPr="0002022A">
        <w:rPr>
          <w:rFonts w:ascii="Arial" w:hAnsi="Arial" w:cs="Arial"/>
          <w:sz w:val="24"/>
          <w:szCs w:val="24"/>
        </w:rPr>
        <w:t>na tyle wytrzymałe, aby c</w:t>
      </w:r>
      <w:r w:rsidR="00A37A07">
        <w:rPr>
          <w:rFonts w:ascii="Arial" w:hAnsi="Arial" w:cs="Arial"/>
          <w:sz w:val="24"/>
          <w:szCs w:val="24"/>
        </w:rPr>
        <w:t>zas ich przełamania był dłuższy</w:t>
      </w:r>
      <w:r w:rsidRPr="0002022A">
        <w:rPr>
          <w:rFonts w:ascii="Arial" w:hAnsi="Arial" w:cs="Arial"/>
          <w:sz w:val="24"/>
          <w:szCs w:val="24"/>
        </w:rPr>
        <w:t>, niż czas w</w:t>
      </w:r>
      <w:r w:rsidR="003F1263">
        <w:rPr>
          <w:rFonts w:ascii="Arial" w:hAnsi="Arial" w:cs="Arial"/>
          <w:sz w:val="24"/>
          <w:szCs w:val="24"/>
        </w:rPr>
        <w:t>ykrycia próby ich przełamania i </w:t>
      </w:r>
      <w:r w:rsidRPr="0002022A">
        <w:rPr>
          <w:rFonts w:ascii="Arial" w:hAnsi="Arial" w:cs="Arial"/>
          <w:sz w:val="24"/>
          <w:szCs w:val="24"/>
        </w:rPr>
        <w:t>odpowiedniej reakcji pracowników ochrony.</w:t>
      </w:r>
      <w:r w:rsidR="008E177E" w:rsidRPr="0002022A">
        <w:rPr>
          <w:rFonts w:ascii="Arial" w:hAnsi="Arial" w:cs="Arial"/>
          <w:sz w:val="24"/>
          <w:szCs w:val="24"/>
        </w:rPr>
        <w:t xml:space="preserve"> </w:t>
      </w:r>
    </w:p>
    <w:p w:rsidR="008E177E" w:rsidRPr="0002022A" w:rsidRDefault="008E177E" w:rsidP="000857B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Pomieszczenie musi być wyposażone w system SSWIN</w:t>
      </w:r>
      <w:r w:rsidR="003F1263">
        <w:rPr>
          <w:rFonts w:ascii="Arial" w:hAnsi="Arial" w:cs="Arial"/>
          <w:sz w:val="24"/>
          <w:szCs w:val="24"/>
        </w:rPr>
        <w:t>.</w:t>
      </w:r>
    </w:p>
    <w:p w:rsidR="00814EB7" w:rsidRPr="00A37A07" w:rsidRDefault="003369A6" w:rsidP="000857B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 xml:space="preserve">Podtrzymanie energii elektrycznej. Zabezpieczenie urządzeń na wypadek krótkotrwałych przerw w dostawie energii elektrycznej np. UPS </w:t>
      </w:r>
    </w:p>
    <w:p w:rsidR="00F82395" w:rsidRPr="0002022A" w:rsidRDefault="00F82395" w:rsidP="000857B4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Kontrola dostęp</w:t>
      </w:r>
      <w:r w:rsidR="00A37A07">
        <w:rPr>
          <w:rFonts w:ascii="Arial" w:hAnsi="Arial" w:cs="Arial"/>
          <w:sz w:val="24"/>
          <w:szCs w:val="24"/>
        </w:rPr>
        <w:t>u</w:t>
      </w:r>
      <w:r w:rsidRPr="0002022A">
        <w:rPr>
          <w:rFonts w:ascii="Arial" w:hAnsi="Arial" w:cs="Arial"/>
          <w:sz w:val="24"/>
          <w:szCs w:val="24"/>
        </w:rPr>
        <w:t xml:space="preserve"> </w:t>
      </w:r>
      <w:r w:rsidR="00135A55" w:rsidRPr="0002022A">
        <w:rPr>
          <w:rFonts w:ascii="Arial" w:hAnsi="Arial" w:cs="Arial"/>
          <w:sz w:val="24"/>
          <w:szCs w:val="24"/>
        </w:rPr>
        <w:t>–</w:t>
      </w:r>
      <w:r w:rsidRPr="0002022A">
        <w:rPr>
          <w:rFonts w:ascii="Arial" w:hAnsi="Arial" w:cs="Arial"/>
          <w:sz w:val="24"/>
          <w:szCs w:val="24"/>
        </w:rPr>
        <w:t xml:space="preserve"> </w:t>
      </w:r>
      <w:r w:rsidR="00135A55" w:rsidRPr="0002022A">
        <w:rPr>
          <w:rFonts w:ascii="Arial" w:hAnsi="Arial" w:cs="Arial"/>
          <w:sz w:val="24"/>
          <w:szCs w:val="24"/>
        </w:rPr>
        <w:t>organizacja jednostki musi uniemożliwiać dostęp do pomieszczenia osoby nieuprawnionej. Dostęp osoby nie mającej stałych uprawnień do dostępu do pomieszc</w:t>
      </w:r>
      <w:r w:rsidR="00CC712A">
        <w:rPr>
          <w:rFonts w:ascii="Arial" w:hAnsi="Arial" w:cs="Arial"/>
          <w:sz w:val="24"/>
          <w:szCs w:val="24"/>
        </w:rPr>
        <w:t>zenia musi zostać odnotowany w </w:t>
      </w:r>
      <w:r w:rsidR="00135A55" w:rsidRPr="0002022A">
        <w:rPr>
          <w:rFonts w:ascii="Arial" w:hAnsi="Arial" w:cs="Arial"/>
          <w:sz w:val="24"/>
          <w:szCs w:val="24"/>
        </w:rPr>
        <w:t xml:space="preserve">rejestrze </w:t>
      </w:r>
      <w:r w:rsidR="00D3346B" w:rsidRPr="0002022A">
        <w:rPr>
          <w:rFonts w:ascii="Arial" w:hAnsi="Arial" w:cs="Arial"/>
          <w:sz w:val="24"/>
          <w:szCs w:val="24"/>
        </w:rPr>
        <w:t xml:space="preserve">wejść. </w:t>
      </w:r>
    </w:p>
    <w:p w:rsidR="0077779C" w:rsidRPr="0002022A" w:rsidRDefault="000F2C28" w:rsidP="000857B4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Wymagania dodatkowe dla pomieszczenia serwerowni:</w:t>
      </w:r>
    </w:p>
    <w:p w:rsidR="003B24CE" w:rsidRPr="0002022A" w:rsidRDefault="003B24CE" w:rsidP="000857B4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 xml:space="preserve">Pomieszczenie serwerowni jest klasyfikowane jako nie przeznaczone na stały pobyt ludzi. </w:t>
      </w:r>
      <w:r w:rsidR="006556DC" w:rsidRPr="0002022A">
        <w:rPr>
          <w:rFonts w:ascii="Arial" w:hAnsi="Arial" w:cs="Arial"/>
          <w:sz w:val="24"/>
          <w:szCs w:val="24"/>
        </w:rPr>
        <w:t>M</w:t>
      </w:r>
      <w:r w:rsidRPr="0002022A">
        <w:rPr>
          <w:rFonts w:ascii="Arial" w:hAnsi="Arial" w:cs="Arial"/>
          <w:sz w:val="24"/>
          <w:szCs w:val="24"/>
        </w:rPr>
        <w:t>oże bezpośrednio sąsiadować z pomieszczeniami przeznaczonymi na stały pobyt ludzi pod warunkiem zastosowania rozwiązań konstrukcyjno</w:t>
      </w:r>
      <w:r w:rsidR="00022D4D">
        <w:rPr>
          <w:rFonts w:ascii="Arial" w:hAnsi="Arial" w:cs="Arial"/>
          <w:sz w:val="24"/>
          <w:szCs w:val="24"/>
        </w:rPr>
        <w:t xml:space="preserve"> </w:t>
      </w:r>
      <w:r w:rsidR="00481B93">
        <w:rPr>
          <w:rFonts w:ascii="Arial" w:hAnsi="Arial" w:cs="Arial"/>
          <w:sz w:val="24"/>
          <w:szCs w:val="24"/>
        </w:rPr>
        <w:t>–</w:t>
      </w:r>
      <w:r w:rsidR="00022D4D">
        <w:rPr>
          <w:rFonts w:ascii="Arial" w:hAnsi="Arial" w:cs="Arial"/>
          <w:sz w:val="24"/>
          <w:szCs w:val="24"/>
        </w:rPr>
        <w:t xml:space="preserve"> </w:t>
      </w:r>
      <w:r w:rsidRPr="0002022A">
        <w:rPr>
          <w:rFonts w:ascii="Arial" w:hAnsi="Arial" w:cs="Arial"/>
          <w:sz w:val="24"/>
          <w:szCs w:val="24"/>
        </w:rPr>
        <w:t>materiałowych, zapewniających ochronę sąsiednich pomieszczeń przed uciążliwym oddziaływaniem urządzeń umieszczonych w serwerowni.</w:t>
      </w:r>
    </w:p>
    <w:p w:rsidR="006556DC" w:rsidRPr="0002022A" w:rsidRDefault="006556DC" w:rsidP="000857B4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 xml:space="preserve">Kontrola dostępu: </w:t>
      </w:r>
    </w:p>
    <w:p w:rsidR="006556DC" w:rsidRPr="0002022A" w:rsidRDefault="003369A6" w:rsidP="000857B4">
      <w:pPr>
        <w:pStyle w:val="Akapitzlist"/>
        <w:numPr>
          <w:ilvl w:val="1"/>
          <w:numId w:val="7"/>
        </w:numPr>
        <w:spacing w:after="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wydzielona strefa kontroli dostępu,</w:t>
      </w:r>
      <w:r w:rsidR="00713309" w:rsidRPr="0002022A">
        <w:rPr>
          <w:rFonts w:ascii="Arial" w:hAnsi="Arial" w:cs="Arial"/>
          <w:sz w:val="24"/>
          <w:szCs w:val="24"/>
        </w:rPr>
        <w:t xml:space="preserve"> z rejestracją wejścia i wyjścia umo</w:t>
      </w:r>
      <w:r w:rsidR="00C462D6" w:rsidRPr="0002022A">
        <w:rPr>
          <w:rFonts w:ascii="Arial" w:hAnsi="Arial" w:cs="Arial"/>
          <w:sz w:val="24"/>
          <w:szCs w:val="24"/>
        </w:rPr>
        <w:t>żliwiająca identyfikację os</w:t>
      </w:r>
      <w:r w:rsidR="006556DC" w:rsidRPr="0002022A">
        <w:rPr>
          <w:rFonts w:ascii="Arial" w:hAnsi="Arial" w:cs="Arial"/>
          <w:sz w:val="24"/>
          <w:szCs w:val="24"/>
        </w:rPr>
        <w:t>oby</w:t>
      </w:r>
      <w:r w:rsidR="00CC712A">
        <w:rPr>
          <w:rFonts w:ascii="Arial" w:hAnsi="Arial" w:cs="Arial"/>
          <w:sz w:val="24"/>
          <w:szCs w:val="24"/>
        </w:rPr>
        <w:t>,</w:t>
      </w:r>
    </w:p>
    <w:p w:rsidR="0097286C" w:rsidRPr="0002022A" w:rsidRDefault="00CC712A" w:rsidP="000857B4">
      <w:pPr>
        <w:pStyle w:val="Akapitzlist"/>
        <w:numPr>
          <w:ilvl w:val="1"/>
          <w:numId w:val="7"/>
        </w:numPr>
        <w:spacing w:after="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13309" w:rsidRPr="0002022A">
        <w:rPr>
          <w:rFonts w:ascii="Arial" w:hAnsi="Arial" w:cs="Arial"/>
          <w:sz w:val="24"/>
          <w:szCs w:val="24"/>
        </w:rPr>
        <w:t xml:space="preserve">ejście autoryzacja </w:t>
      </w:r>
      <w:r w:rsidR="006556DC" w:rsidRPr="0002022A">
        <w:rPr>
          <w:rFonts w:ascii="Arial" w:hAnsi="Arial" w:cs="Arial"/>
          <w:sz w:val="24"/>
          <w:szCs w:val="24"/>
        </w:rPr>
        <w:t>dwuetapowa</w:t>
      </w:r>
      <w:r w:rsidR="00C462D6" w:rsidRPr="0002022A">
        <w:rPr>
          <w:rFonts w:ascii="Arial" w:hAnsi="Arial" w:cs="Arial"/>
          <w:sz w:val="24"/>
          <w:szCs w:val="24"/>
        </w:rPr>
        <w:t xml:space="preserve">, przy czym jeden etap musi wymagać użycia urządzenia fizycznego np. karta, drugi etap hasło lub </w:t>
      </w:r>
      <w:r w:rsidR="00AE1C38" w:rsidRPr="0002022A">
        <w:rPr>
          <w:rFonts w:ascii="Arial" w:hAnsi="Arial" w:cs="Arial"/>
          <w:sz w:val="24"/>
          <w:szCs w:val="24"/>
        </w:rPr>
        <w:t xml:space="preserve">kod </w:t>
      </w:r>
      <w:r w:rsidR="00C462D6" w:rsidRPr="0002022A">
        <w:rPr>
          <w:rFonts w:ascii="Arial" w:hAnsi="Arial" w:cs="Arial"/>
          <w:sz w:val="24"/>
          <w:szCs w:val="24"/>
        </w:rPr>
        <w:t>pin</w:t>
      </w:r>
      <w:r w:rsidR="006556DC" w:rsidRPr="0002022A">
        <w:rPr>
          <w:rFonts w:ascii="Arial" w:hAnsi="Arial" w:cs="Arial"/>
          <w:sz w:val="24"/>
          <w:szCs w:val="24"/>
        </w:rPr>
        <w:t xml:space="preserve">. </w:t>
      </w:r>
      <w:r w:rsidR="003369A6" w:rsidRPr="0002022A">
        <w:rPr>
          <w:rFonts w:ascii="Arial" w:hAnsi="Arial" w:cs="Arial"/>
          <w:sz w:val="24"/>
          <w:szCs w:val="24"/>
        </w:rPr>
        <w:t xml:space="preserve">Preferowane użycie posiadanych </w:t>
      </w:r>
      <w:r w:rsidR="006D77FB" w:rsidRPr="0002022A">
        <w:rPr>
          <w:rFonts w:ascii="Arial" w:hAnsi="Arial" w:cs="Arial"/>
          <w:sz w:val="24"/>
          <w:szCs w:val="24"/>
        </w:rPr>
        <w:t xml:space="preserve">obecnie przez pracowników </w:t>
      </w:r>
      <w:r w:rsidR="003369A6" w:rsidRPr="0002022A">
        <w:rPr>
          <w:rFonts w:ascii="Arial" w:hAnsi="Arial" w:cs="Arial"/>
          <w:sz w:val="24"/>
          <w:szCs w:val="24"/>
        </w:rPr>
        <w:t>kart zbliżeniowych w standardzie MIFARE.</w:t>
      </w:r>
    </w:p>
    <w:p w:rsidR="008600BC" w:rsidRPr="0002022A" w:rsidRDefault="008600BC" w:rsidP="000857B4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 xml:space="preserve">Należy przewidzieć odpowiednią ilość miejsca zarówno </w:t>
      </w:r>
      <w:r w:rsidR="007373CA">
        <w:rPr>
          <w:rFonts w:ascii="Arial" w:hAnsi="Arial" w:cs="Arial"/>
          <w:sz w:val="24"/>
          <w:szCs w:val="24"/>
        </w:rPr>
        <w:t xml:space="preserve">w </w:t>
      </w:r>
      <w:r w:rsidRPr="0002022A">
        <w:rPr>
          <w:rFonts w:ascii="Arial" w:hAnsi="Arial" w:cs="Arial"/>
          <w:sz w:val="24"/>
          <w:szCs w:val="24"/>
        </w:rPr>
        <w:t>krosowni</w:t>
      </w:r>
      <w:r w:rsidR="006556DC" w:rsidRPr="0002022A">
        <w:rPr>
          <w:rFonts w:ascii="Arial" w:hAnsi="Arial" w:cs="Arial"/>
          <w:sz w:val="24"/>
          <w:szCs w:val="24"/>
        </w:rPr>
        <w:t>c</w:t>
      </w:r>
      <w:r w:rsidRPr="0002022A">
        <w:rPr>
          <w:rFonts w:ascii="Arial" w:hAnsi="Arial" w:cs="Arial"/>
          <w:sz w:val="24"/>
          <w:szCs w:val="24"/>
        </w:rPr>
        <w:t>ach</w:t>
      </w:r>
      <w:r w:rsidR="00CC712A">
        <w:rPr>
          <w:rFonts w:ascii="Arial" w:hAnsi="Arial" w:cs="Arial"/>
          <w:sz w:val="24"/>
          <w:szCs w:val="24"/>
        </w:rPr>
        <w:t>, jak i </w:t>
      </w:r>
      <w:r w:rsidR="006556DC" w:rsidRPr="0002022A">
        <w:rPr>
          <w:rFonts w:ascii="Arial" w:hAnsi="Arial" w:cs="Arial"/>
          <w:sz w:val="24"/>
          <w:szCs w:val="24"/>
        </w:rPr>
        <w:t>w szafach rack z zapasem min. 30% n</w:t>
      </w:r>
      <w:r w:rsidRPr="0002022A">
        <w:rPr>
          <w:rFonts w:ascii="Arial" w:hAnsi="Arial" w:cs="Arial"/>
          <w:sz w:val="24"/>
          <w:szCs w:val="24"/>
        </w:rPr>
        <w:t xml:space="preserve">a przyszłą rozbudowę. </w:t>
      </w:r>
    </w:p>
    <w:p w:rsidR="00093635" w:rsidRPr="0002022A" w:rsidRDefault="00093635" w:rsidP="000857B4">
      <w:pPr>
        <w:pStyle w:val="Akapitzlist"/>
        <w:numPr>
          <w:ilvl w:val="0"/>
          <w:numId w:val="7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022A">
        <w:rPr>
          <w:rFonts w:ascii="Arial" w:hAnsi="Arial" w:cs="Arial"/>
          <w:sz w:val="24"/>
          <w:szCs w:val="24"/>
        </w:rPr>
        <w:t>Czas podtrzymania energii elektrycznej przez UPS musi zapewniać możliwość zamknięcia/wyłączeni</w:t>
      </w:r>
      <w:r w:rsidR="00CC712A">
        <w:rPr>
          <w:rFonts w:ascii="Arial" w:hAnsi="Arial" w:cs="Arial"/>
          <w:sz w:val="24"/>
          <w:szCs w:val="24"/>
        </w:rPr>
        <w:t>a</w:t>
      </w:r>
      <w:r w:rsidR="00641236">
        <w:rPr>
          <w:rFonts w:ascii="Arial" w:hAnsi="Arial" w:cs="Arial"/>
          <w:sz w:val="24"/>
          <w:szCs w:val="24"/>
        </w:rPr>
        <w:t xml:space="preserve"> serwerów i innych urządzeń.</w:t>
      </w:r>
    </w:p>
    <w:sectPr w:rsidR="00093635" w:rsidRPr="000202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D1" w:rsidRDefault="009220D1" w:rsidP="003F1263">
      <w:pPr>
        <w:spacing w:after="0" w:line="240" w:lineRule="auto"/>
      </w:pPr>
      <w:r>
        <w:separator/>
      </w:r>
    </w:p>
  </w:endnote>
  <w:endnote w:type="continuationSeparator" w:id="0">
    <w:p w:rsidR="009220D1" w:rsidRDefault="009220D1" w:rsidP="003F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D1" w:rsidRDefault="009220D1" w:rsidP="003F1263">
      <w:pPr>
        <w:spacing w:after="0" w:line="240" w:lineRule="auto"/>
      </w:pPr>
      <w:r>
        <w:separator/>
      </w:r>
    </w:p>
  </w:footnote>
  <w:footnote w:type="continuationSeparator" w:id="0">
    <w:p w:rsidR="009220D1" w:rsidRDefault="009220D1" w:rsidP="003F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63" w:rsidRPr="006C1170" w:rsidRDefault="006C1170" w:rsidP="003F1263">
    <w:pPr>
      <w:pStyle w:val="Nagwek"/>
      <w:jc w:val="right"/>
      <w:rPr>
        <w:rFonts w:ascii="Arial" w:hAnsi="Arial" w:cs="Arial"/>
        <w:i/>
        <w:sz w:val="20"/>
      </w:rPr>
    </w:pPr>
    <w:r w:rsidRPr="006C1170">
      <w:rPr>
        <w:rFonts w:ascii="Arial" w:hAnsi="Arial" w:cs="Arial"/>
        <w:i/>
        <w:sz w:val="20"/>
      </w:rPr>
      <w:t>Zał. Nr 1 do zamówienia OI.270.4.2021</w:t>
    </w:r>
  </w:p>
  <w:p w:rsidR="003F1263" w:rsidRDefault="003F12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CC7"/>
    <w:multiLevelType w:val="hybridMultilevel"/>
    <w:tmpl w:val="2504914C"/>
    <w:lvl w:ilvl="0" w:tplc="88360A52">
      <w:start w:val="1"/>
      <w:numFmt w:val="upperRoman"/>
      <w:lvlText w:val="%1."/>
      <w:lvlJc w:val="right"/>
      <w:pPr>
        <w:ind w:left="1080" w:hanging="360"/>
      </w:pPr>
      <w:rPr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4049C"/>
    <w:multiLevelType w:val="hybridMultilevel"/>
    <w:tmpl w:val="F3DE1F2C"/>
    <w:lvl w:ilvl="0" w:tplc="EFCAB1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B55655"/>
    <w:multiLevelType w:val="hybridMultilevel"/>
    <w:tmpl w:val="F270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5586"/>
    <w:multiLevelType w:val="hybridMultilevel"/>
    <w:tmpl w:val="6BDC5906"/>
    <w:lvl w:ilvl="0" w:tplc="04743A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0F0D64"/>
    <w:multiLevelType w:val="hybridMultilevel"/>
    <w:tmpl w:val="5488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965ED"/>
    <w:multiLevelType w:val="hybridMultilevel"/>
    <w:tmpl w:val="5488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3074B"/>
    <w:multiLevelType w:val="hybridMultilevel"/>
    <w:tmpl w:val="5488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63C3"/>
    <w:multiLevelType w:val="hybridMultilevel"/>
    <w:tmpl w:val="5488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A3359"/>
    <w:multiLevelType w:val="hybridMultilevel"/>
    <w:tmpl w:val="5488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A"/>
    <w:rsid w:val="0002022A"/>
    <w:rsid w:val="00022D4D"/>
    <w:rsid w:val="000857B4"/>
    <w:rsid w:val="00093635"/>
    <w:rsid w:val="000E13F7"/>
    <w:rsid w:val="000F2C28"/>
    <w:rsid w:val="00125866"/>
    <w:rsid w:val="00135A55"/>
    <w:rsid w:val="0017789D"/>
    <w:rsid w:val="001D5716"/>
    <w:rsid w:val="0022068C"/>
    <w:rsid w:val="002E1111"/>
    <w:rsid w:val="00333B81"/>
    <w:rsid w:val="003369A6"/>
    <w:rsid w:val="0038027E"/>
    <w:rsid w:val="003A205D"/>
    <w:rsid w:val="003B24CE"/>
    <w:rsid w:val="003F1263"/>
    <w:rsid w:val="00462B70"/>
    <w:rsid w:val="00481B93"/>
    <w:rsid w:val="004E6983"/>
    <w:rsid w:val="00563ACA"/>
    <w:rsid w:val="005C5C7D"/>
    <w:rsid w:val="00641236"/>
    <w:rsid w:val="006556DC"/>
    <w:rsid w:val="006B47D3"/>
    <w:rsid w:val="006C1170"/>
    <w:rsid w:val="006D77FB"/>
    <w:rsid w:val="0071242A"/>
    <w:rsid w:val="00713309"/>
    <w:rsid w:val="007373CA"/>
    <w:rsid w:val="00757E7F"/>
    <w:rsid w:val="0077779C"/>
    <w:rsid w:val="0078709A"/>
    <w:rsid w:val="00814EB7"/>
    <w:rsid w:val="008433FA"/>
    <w:rsid w:val="008504B8"/>
    <w:rsid w:val="008600BC"/>
    <w:rsid w:val="00883828"/>
    <w:rsid w:val="008A40F0"/>
    <w:rsid w:val="008D5F23"/>
    <w:rsid w:val="008E177E"/>
    <w:rsid w:val="008F3203"/>
    <w:rsid w:val="009220D1"/>
    <w:rsid w:val="009349DE"/>
    <w:rsid w:val="009679BD"/>
    <w:rsid w:val="0097286C"/>
    <w:rsid w:val="009A57DB"/>
    <w:rsid w:val="009C4465"/>
    <w:rsid w:val="009D5439"/>
    <w:rsid w:val="00A37A07"/>
    <w:rsid w:val="00A7556D"/>
    <w:rsid w:val="00AC641B"/>
    <w:rsid w:val="00AE1C38"/>
    <w:rsid w:val="00B05D37"/>
    <w:rsid w:val="00B2437B"/>
    <w:rsid w:val="00B771E2"/>
    <w:rsid w:val="00BC3FB2"/>
    <w:rsid w:val="00BE2700"/>
    <w:rsid w:val="00BE7720"/>
    <w:rsid w:val="00C01116"/>
    <w:rsid w:val="00C0165E"/>
    <w:rsid w:val="00C462D6"/>
    <w:rsid w:val="00CC712A"/>
    <w:rsid w:val="00CD2C0C"/>
    <w:rsid w:val="00CE0BA7"/>
    <w:rsid w:val="00D0179A"/>
    <w:rsid w:val="00D3346B"/>
    <w:rsid w:val="00D82715"/>
    <w:rsid w:val="00DB5AF5"/>
    <w:rsid w:val="00DE4011"/>
    <w:rsid w:val="00E14EFD"/>
    <w:rsid w:val="00E71EF7"/>
    <w:rsid w:val="00ED33E4"/>
    <w:rsid w:val="00F374DD"/>
    <w:rsid w:val="00F6061A"/>
    <w:rsid w:val="00F71FBC"/>
    <w:rsid w:val="00F72913"/>
    <w:rsid w:val="00F82395"/>
    <w:rsid w:val="00F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42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263"/>
  </w:style>
  <w:style w:type="paragraph" w:styleId="Stopka">
    <w:name w:val="footer"/>
    <w:basedOn w:val="Normalny"/>
    <w:link w:val="StopkaZnak"/>
    <w:uiPriority w:val="99"/>
    <w:unhideWhenUsed/>
    <w:rsid w:val="003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263"/>
  </w:style>
  <w:style w:type="paragraph" w:styleId="Tekstdymka">
    <w:name w:val="Balloon Text"/>
    <w:basedOn w:val="Normalny"/>
    <w:link w:val="TekstdymkaZnak"/>
    <w:uiPriority w:val="99"/>
    <w:semiHidden/>
    <w:unhideWhenUsed/>
    <w:rsid w:val="00B7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1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42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263"/>
  </w:style>
  <w:style w:type="paragraph" w:styleId="Stopka">
    <w:name w:val="footer"/>
    <w:basedOn w:val="Normalny"/>
    <w:link w:val="StopkaZnak"/>
    <w:uiPriority w:val="99"/>
    <w:unhideWhenUsed/>
    <w:rsid w:val="003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263"/>
  </w:style>
  <w:style w:type="paragraph" w:styleId="Tekstdymka">
    <w:name w:val="Balloon Text"/>
    <w:basedOn w:val="Normalny"/>
    <w:link w:val="TekstdymkaZnak"/>
    <w:uiPriority w:val="99"/>
    <w:semiHidden/>
    <w:unhideWhenUsed/>
    <w:rsid w:val="00B7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1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73A7FF5-E1BE-4074-BDDA-E9FB6D9E8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DC2AC-DC21-462B-BB94-E88320B9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6B01B-DB38-45C9-890B-C0BF8F6D8CA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Zał.7 Wymagania serwerownia </vt:lpstr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Zał.7 Wymagania serwerownia </dc:title>
  <dc:subject/>
  <dc:creator>Witold Majsterkiewicz</dc:creator>
  <cp:keywords/>
  <dc:description/>
  <cp:lastModifiedBy>Krzysztof Dziuba (RDLP w Krakowie)</cp:lastModifiedBy>
  <cp:revision>12</cp:revision>
  <cp:lastPrinted>2020-02-10T08:44:00Z</cp:lastPrinted>
  <dcterms:created xsi:type="dcterms:W3CDTF">2020-06-29T08:58:00Z</dcterms:created>
  <dcterms:modified xsi:type="dcterms:W3CDTF">2021-04-09T08:37:00Z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