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9F" w:rsidRPr="00D74920" w:rsidRDefault="006A1AAA" w:rsidP="00D74920">
      <w:pPr>
        <w:spacing w:after="0" w:line="360" w:lineRule="auto"/>
        <w:ind w:left="4963" w:firstLine="709"/>
        <w:rPr>
          <w:rFonts w:cstheme="minorHAnsi"/>
          <w:sz w:val="19"/>
          <w:szCs w:val="19"/>
        </w:rPr>
        <w:sectPr w:rsidR="00B0529F" w:rsidRPr="00D74920"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D74920">
        <w:rPr>
          <w:rFonts w:cstheme="minorHAnsi"/>
          <w:sz w:val="19"/>
          <w:szCs w:val="19"/>
        </w:rPr>
        <w:t xml:space="preserve">Szczecin, </w:t>
      </w:r>
      <w:r w:rsidR="007063CB" w:rsidRPr="00D74920">
        <w:rPr>
          <w:rFonts w:cstheme="minorHAnsi"/>
          <w:sz w:val="19"/>
          <w:szCs w:val="19"/>
        </w:rPr>
        <w:t>1</w:t>
      </w:r>
      <w:r w:rsidR="008552BD">
        <w:rPr>
          <w:rFonts w:cstheme="minorHAnsi"/>
          <w:sz w:val="19"/>
          <w:szCs w:val="19"/>
        </w:rPr>
        <w:t>7</w:t>
      </w:r>
      <w:r w:rsidR="007063CB" w:rsidRPr="00D74920">
        <w:rPr>
          <w:rFonts w:cstheme="minorHAnsi"/>
          <w:sz w:val="19"/>
          <w:szCs w:val="19"/>
        </w:rPr>
        <w:t xml:space="preserve"> </w:t>
      </w:r>
      <w:r w:rsidR="00433003" w:rsidRPr="00D74920">
        <w:rPr>
          <w:rFonts w:cstheme="minorHAnsi"/>
          <w:sz w:val="19"/>
          <w:szCs w:val="19"/>
        </w:rPr>
        <w:t>maja</w:t>
      </w:r>
      <w:r w:rsidR="00FF3C34" w:rsidRPr="00D74920">
        <w:rPr>
          <w:rFonts w:cstheme="minorHAnsi"/>
          <w:sz w:val="19"/>
          <w:szCs w:val="19"/>
        </w:rPr>
        <w:t xml:space="preserve"> </w:t>
      </w:r>
      <w:r w:rsidRPr="00D74920">
        <w:rPr>
          <w:rFonts w:cstheme="minorHAnsi"/>
          <w:sz w:val="19"/>
          <w:szCs w:val="19"/>
        </w:rPr>
        <w:t>202</w:t>
      </w:r>
      <w:r w:rsidR="00FF3C34" w:rsidRPr="00D74920">
        <w:rPr>
          <w:rFonts w:cstheme="minorHAnsi"/>
          <w:sz w:val="19"/>
          <w:szCs w:val="19"/>
        </w:rPr>
        <w:t>2</w:t>
      </w:r>
      <w:r w:rsidRPr="00D74920">
        <w:rPr>
          <w:rFonts w:cstheme="minorHAnsi"/>
          <w:sz w:val="19"/>
          <w:szCs w:val="19"/>
        </w:rPr>
        <w:t xml:space="preserve"> r. </w:t>
      </w:r>
    </w:p>
    <w:p w:rsidR="007063CB" w:rsidRPr="00D74920" w:rsidRDefault="007063CB" w:rsidP="00D74920">
      <w:pPr>
        <w:spacing w:after="0" w:line="360" w:lineRule="auto"/>
        <w:jc w:val="both"/>
        <w:rPr>
          <w:rFonts w:cstheme="minorHAnsi"/>
          <w:b/>
          <w:sz w:val="19"/>
          <w:szCs w:val="19"/>
        </w:rPr>
      </w:pPr>
      <w:r w:rsidRPr="00D74920">
        <w:rPr>
          <w:rFonts w:cstheme="minorHAnsi"/>
          <w:b/>
          <w:sz w:val="19"/>
          <w:szCs w:val="19"/>
        </w:rPr>
        <w:lastRenderedPageBreak/>
        <w:t>Sygnatura: ZP/220/23/22</w:t>
      </w:r>
      <w:r w:rsidRPr="00D74920">
        <w:rPr>
          <w:rFonts w:cstheme="minorHAnsi"/>
          <w:b/>
          <w:sz w:val="19"/>
          <w:szCs w:val="19"/>
        </w:rPr>
        <w:tab/>
      </w:r>
    </w:p>
    <w:p w:rsidR="007063CB" w:rsidRPr="00D74920" w:rsidRDefault="007063CB" w:rsidP="00D74920">
      <w:pPr>
        <w:pStyle w:val="Stopka"/>
        <w:tabs>
          <w:tab w:val="clear" w:pos="4536"/>
          <w:tab w:val="clear" w:pos="9072"/>
          <w:tab w:val="left" w:pos="1080"/>
        </w:tabs>
        <w:spacing w:line="360" w:lineRule="auto"/>
        <w:jc w:val="both"/>
        <w:rPr>
          <w:rFonts w:cstheme="minorHAnsi"/>
          <w:sz w:val="19"/>
          <w:szCs w:val="19"/>
        </w:rPr>
      </w:pPr>
      <w:r w:rsidRPr="00D74920">
        <w:rPr>
          <w:rFonts w:cstheme="minorHAnsi"/>
          <w:sz w:val="19"/>
          <w:szCs w:val="19"/>
        </w:rPr>
        <w:t>Dotyczy: postępowania o udzielenie zamówienia publicznego pn.:</w:t>
      </w:r>
    </w:p>
    <w:p w:rsidR="007063CB" w:rsidRDefault="007063CB" w:rsidP="00D74920">
      <w:pPr>
        <w:pStyle w:val="Stopka"/>
        <w:tabs>
          <w:tab w:val="clear" w:pos="4536"/>
          <w:tab w:val="clear" w:pos="9072"/>
          <w:tab w:val="left" w:pos="1080"/>
        </w:tabs>
        <w:spacing w:line="360" w:lineRule="auto"/>
        <w:jc w:val="both"/>
        <w:rPr>
          <w:rFonts w:cstheme="minorHAnsi"/>
          <w:sz w:val="19"/>
          <w:szCs w:val="19"/>
        </w:rPr>
      </w:pPr>
      <w:r w:rsidRPr="00D74920">
        <w:rPr>
          <w:rFonts w:cstheme="minorHAnsi"/>
          <w:sz w:val="19"/>
          <w:szCs w:val="19"/>
        </w:rPr>
        <w:t xml:space="preserve">„Dostawa nici chirurgicznych, </w:t>
      </w:r>
      <w:proofErr w:type="spellStart"/>
      <w:r w:rsidRPr="00D74920">
        <w:rPr>
          <w:rFonts w:cstheme="minorHAnsi"/>
          <w:sz w:val="19"/>
          <w:szCs w:val="19"/>
        </w:rPr>
        <w:t>hemostatyków</w:t>
      </w:r>
      <w:proofErr w:type="spellEnd"/>
      <w:r w:rsidRPr="00D74920">
        <w:rPr>
          <w:rFonts w:cstheme="minorHAnsi"/>
          <w:sz w:val="19"/>
          <w:szCs w:val="19"/>
        </w:rPr>
        <w:t xml:space="preserve">, klejów tkankowych oraz siatek chirurgicznych na potrzeby bloków operacyjnych SPSK-2 w Szczecinie.” </w:t>
      </w:r>
    </w:p>
    <w:p w:rsidR="00C320A0" w:rsidRPr="00D74920" w:rsidRDefault="00C320A0" w:rsidP="00D74920">
      <w:pPr>
        <w:spacing w:after="0" w:line="360" w:lineRule="auto"/>
        <w:jc w:val="center"/>
        <w:rPr>
          <w:rFonts w:cstheme="minorHAnsi"/>
          <w:b/>
          <w:sz w:val="19"/>
          <w:szCs w:val="19"/>
        </w:rPr>
      </w:pPr>
    </w:p>
    <w:p w:rsidR="00E36533" w:rsidRPr="00D74920" w:rsidRDefault="00C320A0" w:rsidP="00D74920">
      <w:pPr>
        <w:pStyle w:val="Nagwek1"/>
        <w:spacing w:before="0" w:line="360" w:lineRule="auto"/>
        <w:rPr>
          <w:rFonts w:asciiTheme="minorHAnsi" w:hAnsiTheme="minorHAnsi" w:cstheme="minorHAnsi"/>
          <w:b/>
          <w:color w:val="auto"/>
          <w:sz w:val="19"/>
          <w:szCs w:val="19"/>
        </w:rPr>
      </w:pPr>
      <w:r w:rsidRPr="00D74920">
        <w:rPr>
          <w:rFonts w:asciiTheme="minorHAnsi" w:hAnsiTheme="minorHAnsi" w:cstheme="minorHAnsi"/>
          <w:b/>
          <w:color w:val="auto"/>
          <w:sz w:val="19"/>
          <w:szCs w:val="19"/>
        </w:rPr>
        <w:t xml:space="preserve">I. </w:t>
      </w:r>
      <w:r w:rsidR="004432A3" w:rsidRPr="00D74920">
        <w:rPr>
          <w:rFonts w:asciiTheme="minorHAnsi" w:hAnsiTheme="minorHAnsi" w:cstheme="minorHAnsi"/>
          <w:b/>
          <w:color w:val="auto"/>
          <w:sz w:val="19"/>
          <w:szCs w:val="19"/>
        </w:rPr>
        <w:t>WYJAŚNIENIE TREŚCI SWZ</w:t>
      </w:r>
      <w:r w:rsidR="00612170">
        <w:rPr>
          <w:rFonts w:asciiTheme="minorHAnsi" w:hAnsiTheme="minorHAnsi" w:cstheme="minorHAnsi"/>
          <w:b/>
          <w:color w:val="auto"/>
          <w:sz w:val="19"/>
          <w:szCs w:val="19"/>
        </w:rPr>
        <w:t xml:space="preserve"> (2)</w:t>
      </w:r>
    </w:p>
    <w:p w:rsidR="0013090F" w:rsidRPr="00D74920" w:rsidRDefault="0013090F" w:rsidP="00D74920">
      <w:pPr>
        <w:pStyle w:val="Stopka"/>
        <w:tabs>
          <w:tab w:val="clear" w:pos="4536"/>
          <w:tab w:val="clear" w:pos="9072"/>
          <w:tab w:val="left" w:pos="284"/>
        </w:tabs>
        <w:spacing w:line="360" w:lineRule="auto"/>
        <w:jc w:val="both"/>
        <w:rPr>
          <w:rFonts w:cstheme="minorHAnsi"/>
          <w:sz w:val="19"/>
          <w:szCs w:val="19"/>
        </w:rPr>
      </w:pPr>
      <w:r w:rsidRPr="00D74920">
        <w:rPr>
          <w:rFonts w:cstheme="minorHAnsi"/>
          <w:sz w:val="19"/>
          <w:szCs w:val="19"/>
        </w:rPr>
        <w:t xml:space="preserve">Na podstawie art. </w:t>
      </w:r>
      <w:r w:rsidR="00FF3C34" w:rsidRPr="00D74920">
        <w:rPr>
          <w:rFonts w:cstheme="minorHAnsi"/>
          <w:sz w:val="19"/>
          <w:szCs w:val="19"/>
        </w:rPr>
        <w:t>135 u</w:t>
      </w:r>
      <w:r w:rsidRPr="00D74920">
        <w:rPr>
          <w:rFonts w:cstheme="minorHAnsi"/>
          <w:sz w:val="19"/>
          <w:szCs w:val="19"/>
        </w:rPr>
        <w:t xml:space="preserve">stawy z dnia </w:t>
      </w:r>
      <w:r w:rsidR="00EA5041" w:rsidRPr="00D74920">
        <w:rPr>
          <w:rFonts w:cstheme="minorHAnsi"/>
          <w:sz w:val="19"/>
          <w:szCs w:val="19"/>
        </w:rPr>
        <w:t xml:space="preserve">11 września </w:t>
      </w:r>
      <w:r w:rsidRPr="00D74920">
        <w:rPr>
          <w:rFonts w:cstheme="minorHAnsi"/>
          <w:sz w:val="19"/>
          <w:szCs w:val="19"/>
        </w:rPr>
        <w:t>20</w:t>
      </w:r>
      <w:r w:rsidR="00EA5041" w:rsidRPr="00D74920">
        <w:rPr>
          <w:rFonts w:cstheme="minorHAnsi"/>
          <w:sz w:val="19"/>
          <w:szCs w:val="19"/>
        </w:rPr>
        <w:t>21</w:t>
      </w:r>
      <w:r w:rsidRPr="00D74920">
        <w:rPr>
          <w:rFonts w:cstheme="minorHAnsi"/>
          <w:sz w:val="19"/>
          <w:szCs w:val="19"/>
        </w:rPr>
        <w:t xml:space="preserve"> r. Prawo zamówień publicznych (Dz.U.2019.</w:t>
      </w:r>
      <w:r w:rsidR="00EA5041" w:rsidRPr="00D74920">
        <w:rPr>
          <w:rFonts w:cstheme="minorHAnsi"/>
          <w:sz w:val="19"/>
          <w:szCs w:val="19"/>
        </w:rPr>
        <w:t>2019</w:t>
      </w:r>
      <w:r w:rsidRPr="00D74920">
        <w:rPr>
          <w:rFonts w:cstheme="minorHAnsi"/>
          <w:sz w:val="19"/>
          <w:szCs w:val="19"/>
        </w:rPr>
        <w:t xml:space="preserve"> </w:t>
      </w:r>
      <w:proofErr w:type="spellStart"/>
      <w:proofErr w:type="gramStart"/>
      <w:r w:rsidRPr="00D74920">
        <w:rPr>
          <w:rFonts w:cstheme="minorHAnsi"/>
          <w:sz w:val="19"/>
          <w:szCs w:val="19"/>
        </w:rPr>
        <w:t>t</w:t>
      </w:r>
      <w:proofErr w:type="gramEnd"/>
      <w:r w:rsidRPr="00D74920">
        <w:rPr>
          <w:rFonts w:cstheme="minorHAnsi"/>
          <w:sz w:val="19"/>
          <w:szCs w:val="19"/>
        </w:rPr>
        <w:t>.j</w:t>
      </w:r>
      <w:proofErr w:type="spellEnd"/>
      <w:r w:rsidRPr="00D74920">
        <w:rPr>
          <w:rFonts w:cstheme="minorHAnsi"/>
          <w:sz w:val="19"/>
          <w:szCs w:val="19"/>
        </w:rPr>
        <w:t>. z dnia 2019.</w:t>
      </w:r>
      <w:r w:rsidR="00EA5041" w:rsidRPr="00D74920">
        <w:rPr>
          <w:rFonts w:cstheme="minorHAnsi"/>
          <w:sz w:val="19"/>
          <w:szCs w:val="19"/>
        </w:rPr>
        <w:t>10.24</w:t>
      </w:r>
      <w:r w:rsidRPr="00D74920">
        <w:rPr>
          <w:rFonts w:cstheme="minorHAnsi"/>
          <w:sz w:val="19"/>
          <w:szCs w:val="19"/>
        </w:rPr>
        <w:t xml:space="preserve">), </w:t>
      </w:r>
      <w:proofErr w:type="gramStart"/>
      <w:r w:rsidRPr="00D74920">
        <w:rPr>
          <w:rFonts w:cstheme="minorHAnsi"/>
          <w:sz w:val="19"/>
          <w:szCs w:val="19"/>
        </w:rPr>
        <w:t>zamawiający</w:t>
      </w:r>
      <w:proofErr w:type="gramEnd"/>
      <w:r w:rsidRPr="00D74920">
        <w:rPr>
          <w:rFonts w:cstheme="minorHAnsi"/>
          <w:sz w:val="19"/>
          <w:szCs w:val="19"/>
        </w:rPr>
        <w:t xml:space="preserve"> udziela następującego wyjaśnienia: </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b/>
          <w:color w:val="auto"/>
          <w:sz w:val="19"/>
          <w:szCs w:val="19"/>
        </w:rPr>
      </w:pPr>
    </w:p>
    <w:p w:rsidR="002E5EFE" w:rsidRPr="0040260D" w:rsidRDefault="002E5EFE" w:rsidP="00D74920">
      <w:pPr>
        <w:pStyle w:val="Nagwek1"/>
        <w:spacing w:before="0" w:line="360" w:lineRule="auto"/>
        <w:rPr>
          <w:rFonts w:asciiTheme="minorHAnsi" w:hAnsiTheme="minorHAnsi" w:cstheme="minorHAnsi"/>
          <w:b/>
          <w:color w:val="auto"/>
          <w:sz w:val="19"/>
          <w:szCs w:val="19"/>
        </w:rPr>
      </w:pPr>
      <w:r w:rsidRPr="0040260D">
        <w:rPr>
          <w:rFonts w:asciiTheme="minorHAnsi" w:hAnsiTheme="minorHAnsi" w:cstheme="minorHAnsi"/>
          <w:b/>
          <w:color w:val="auto"/>
          <w:sz w:val="19"/>
          <w:szCs w:val="19"/>
        </w:rPr>
        <w:t>WYKONAWCA III</w:t>
      </w:r>
      <w:r w:rsidR="00D74920" w:rsidRPr="0040260D">
        <w:rPr>
          <w:rFonts w:asciiTheme="minorHAnsi" w:hAnsiTheme="minorHAnsi" w:cstheme="minorHAnsi"/>
          <w:b/>
          <w:color w:val="auto"/>
          <w:sz w:val="19"/>
          <w:szCs w:val="19"/>
        </w:rPr>
        <w:t xml:space="preserve"> </w:t>
      </w:r>
      <w:r w:rsidR="0040260D" w:rsidRPr="0040260D">
        <w:rPr>
          <w:rFonts w:asciiTheme="minorHAnsi" w:hAnsiTheme="minorHAnsi" w:cstheme="minorHAnsi"/>
          <w:b/>
          <w:color w:val="auto"/>
          <w:sz w:val="19"/>
          <w:szCs w:val="19"/>
        </w:rPr>
        <w:t>(</w:t>
      </w:r>
      <w:r w:rsidR="00D74920" w:rsidRPr="0040260D">
        <w:rPr>
          <w:rFonts w:asciiTheme="minorHAnsi" w:hAnsiTheme="minorHAnsi" w:cstheme="minorHAnsi"/>
          <w:b/>
          <w:color w:val="auto"/>
          <w:sz w:val="19"/>
          <w:szCs w:val="19"/>
        </w:rPr>
        <w:t>30-34)</w:t>
      </w:r>
    </w:p>
    <w:p w:rsidR="002E5EFE" w:rsidRPr="00D74920" w:rsidRDefault="00635931"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Pr>
          <w:rFonts w:cstheme="minorHAnsi"/>
          <w:sz w:val="19"/>
          <w:szCs w:val="19"/>
        </w:rPr>
        <w:t xml:space="preserve">(30) </w:t>
      </w:r>
      <w:r w:rsidR="002E5EFE" w:rsidRPr="00D74920">
        <w:rPr>
          <w:rFonts w:cstheme="minorHAnsi"/>
          <w:sz w:val="19"/>
          <w:szCs w:val="19"/>
        </w:rPr>
        <w:t>Pytanie nr 1 dot. Zadania nr 16 poz. 1 i 2</w:t>
      </w:r>
    </w:p>
    <w:p w:rsidR="002E5EFE" w:rsidRPr="00D74920" w:rsidRDefault="002E5EFE" w:rsidP="00D74920">
      <w:pPr>
        <w:pStyle w:val="Akapitzlist"/>
        <w:tabs>
          <w:tab w:val="left" w:pos="284"/>
        </w:tabs>
        <w:spacing w:after="0" w:line="360" w:lineRule="auto"/>
        <w:ind w:left="0"/>
        <w:jc w:val="both"/>
        <w:rPr>
          <w:rFonts w:cstheme="minorHAnsi"/>
          <w:sz w:val="19"/>
          <w:szCs w:val="19"/>
        </w:rPr>
      </w:pPr>
      <w:r w:rsidRPr="003F2FD8">
        <w:rPr>
          <w:rFonts w:cstheme="minorHAnsi"/>
          <w:sz w:val="19"/>
          <w:szCs w:val="19"/>
        </w:rPr>
        <w:t xml:space="preserve">"Wnosimy o odstąpienie i wykreślenie przez Zamawiającego w Zadaniu nr 16 poz. 1 i 2 w formularzu cen jednostkowych wymogu potwierdzenia obu działań hemostatycznego i </w:t>
      </w:r>
      <w:proofErr w:type="spellStart"/>
      <w:r w:rsidRPr="003F2FD8">
        <w:rPr>
          <w:rFonts w:cstheme="minorHAnsi"/>
          <w:sz w:val="19"/>
          <w:szCs w:val="19"/>
        </w:rPr>
        <w:t>przeciwzrostowego</w:t>
      </w:r>
      <w:proofErr w:type="spellEnd"/>
      <w:r w:rsidRPr="003F2FD8">
        <w:rPr>
          <w:rFonts w:cstheme="minorHAnsi"/>
          <w:sz w:val="19"/>
          <w:szCs w:val="19"/>
        </w:rPr>
        <w:t xml:space="preserve"> certyfikatem CE/jednostką </w:t>
      </w:r>
      <w:proofErr w:type="gramStart"/>
      <w:r w:rsidRPr="003F2FD8">
        <w:rPr>
          <w:rFonts w:cstheme="minorHAnsi"/>
          <w:sz w:val="19"/>
          <w:szCs w:val="19"/>
        </w:rPr>
        <w:t>notyfikowaną,</w:t>
      </w:r>
      <w:r w:rsidRPr="00D74920">
        <w:rPr>
          <w:rFonts w:cstheme="minorHAnsi"/>
          <w:sz w:val="19"/>
          <w:szCs w:val="19"/>
        </w:rPr>
        <w:t xml:space="preserve">                           w</w:t>
      </w:r>
      <w:proofErr w:type="gramEnd"/>
      <w:r w:rsidRPr="00D74920">
        <w:rPr>
          <w:rFonts w:cstheme="minorHAnsi"/>
          <w:sz w:val="19"/>
          <w:szCs w:val="19"/>
        </w:rPr>
        <w:t xml:space="preserve"> sytuacji gdy nie wynika on z powszechnie obowiązujących przepisów prawa i jest całkowicie bezpodstawny”.</w:t>
      </w:r>
    </w:p>
    <w:p w:rsidR="002E5EFE" w:rsidRPr="00D74920" w:rsidRDefault="002E5EFE"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Zgodnie z art. 2 ust. 8 </w:t>
      </w:r>
      <w:r w:rsidRPr="00D74920">
        <w:rPr>
          <w:rFonts w:cstheme="minorHAnsi"/>
          <w:iCs/>
          <w:sz w:val="19"/>
          <w:szCs w:val="19"/>
        </w:rPr>
        <w:t>ustawy z dnia 20 maja 2010 r.</w:t>
      </w:r>
      <w:r w:rsidRPr="00D74920">
        <w:rPr>
          <w:rFonts w:cstheme="minorHAnsi"/>
          <w:i/>
          <w:iCs/>
          <w:sz w:val="19"/>
          <w:szCs w:val="19"/>
        </w:rPr>
        <w:t xml:space="preserve"> o wyrobach medycznych</w:t>
      </w:r>
      <w:r w:rsidRPr="00D74920">
        <w:rPr>
          <w:rFonts w:cstheme="minorHAnsi"/>
          <w:sz w:val="19"/>
          <w:szCs w:val="19"/>
        </w:rPr>
        <w:t xml:space="preserve"> certyfikat zgodności jest dokumentem wydawanym przez jednostką notyfikowaną w zakresie wyrobów, poświadczającym przeprowadzenie procedury oceny zgodności, potwierdzającej, że należycie zidentyfikowany wyrób, jego projekt, typ, proces wytwarzania, </w:t>
      </w:r>
      <w:proofErr w:type="gramStart"/>
      <w:r w:rsidRPr="00D74920">
        <w:rPr>
          <w:rFonts w:cstheme="minorHAnsi"/>
          <w:sz w:val="19"/>
          <w:szCs w:val="19"/>
        </w:rPr>
        <w:t>sterylizacja                               lub</w:t>
      </w:r>
      <w:proofErr w:type="gramEnd"/>
      <w:r w:rsidRPr="00D74920">
        <w:rPr>
          <w:rFonts w:cstheme="minorHAnsi"/>
          <w:sz w:val="19"/>
          <w:szCs w:val="19"/>
        </w:rPr>
        <w:t xml:space="preserve"> kontrola i badania końcowe są zgodne z wymaganiami zasadniczymi. W definicji certyfikatu nie ma </w:t>
      </w:r>
      <w:proofErr w:type="gramStart"/>
      <w:r w:rsidRPr="00D74920">
        <w:rPr>
          <w:rFonts w:cstheme="minorHAnsi"/>
          <w:sz w:val="19"/>
          <w:szCs w:val="19"/>
        </w:rPr>
        <w:t xml:space="preserve">mowy                                                  </w:t>
      </w:r>
      <w:proofErr w:type="gramEnd"/>
      <w:r w:rsidRPr="00D74920">
        <w:rPr>
          <w:rFonts w:cstheme="minorHAnsi"/>
          <w:sz w:val="19"/>
          <w:szCs w:val="19"/>
        </w:rPr>
        <w:t xml:space="preserve">   o zamieszczaniu w nim informacji o przewidzianym zastosowaniu wyrobu. Funkcją certyfikatu jest potwierdzenie spełnienie wymagań zasadniczych i wskazanie procedury oceny zgodności, a nie opisywanie działania wyrobu. Informacje o właściwym działaniu i używaniu wyrobów medycznych powinny być zawarte w instrukcji używania wyrobu zgodnie z </w:t>
      </w:r>
      <w:r w:rsidRPr="00D74920">
        <w:rPr>
          <w:rFonts w:cstheme="minorHAnsi"/>
          <w:i/>
          <w:iCs/>
          <w:sz w:val="19"/>
          <w:szCs w:val="19"/>
        </w:rPr>
        <w:t>Rozporządzeniem Ministra Zdrowia z dnia 17 lutego 2016 r. w sprawie wymagań zasadniczych oraz procedur oceny zgodności wyrobów medycznych, załącznik I Wymagania zasadnicze dla wyrobów medycznych,</w:t>
      </w:r>
      <w:r w:rsidRPr="00D74920">
        <w:rPr>
          <w:rFonts w:cstheme="minorHAnsi"/>
          <w:sz w:val="19"/>
          <w:szCs w:val="19"/>
        </w:rPr>
        <w:t xml:space="preserve"> ust 13.1. Wobec powyższych uwarunkowań prawodawstwa krajowego podkreślamy, że wymóg potwierdzenia działania hemostatycznego i </w:t>
      </w:r>
      <w:proofErr w:type="spellStart"/>
      <w:r w:rsidRPr="00D74920">
        <w:rPr>
          <w:rFonts w:cstheme="minorHAnsi"/>
          <w:sz w:val="19"/>
          <w:szCs w:val="19"/>
        </w:rPr>
        <w:t>przeciwzrostowego</w:t>
      </w:r>
      <w:proofErr w:type="spellEnd"/>
      <w:r w:rsidRPr="00D74920">
        <w:rPr>
          <w:rFonts w:cstheme="minorHAnsi"/>
          <w:sz w:val="19"/>
          <w:szCs w:val="19"/>
        </w:rPr>
        <w:t xml:space="preserve"> środka hemostatycznego w certyfikacie CE jest całkowicie bezpodstawny. W związku z powyższym, wnosimy jak na wstępie.</w:t>
      </w:r>
    </w:p>
    <w:p w:rsidR="002E5EFE" w:rsidRPr="00916161" w:rsidRDefault="002E5EFE" w:rsidP="00D74920">
      <w:pPr>
        <w:pStyle w:val="Default"/>
        <w:tabs>
          <w:tab w:val="left" w:pos="284"/>
          <w:tab w:val="left" w:pos="851"/>
        </w:tabs>
        <w:spacing w:line="360" w:lineRule="auto"/>
        <w:jc w:val="both"/>
        <w:rPr>
          <w:rFonts w:asciiTheme="minorHAnsi" w:hAnsiTheme="minorHAnsi" w:cstheme="minorHAnsi"/>
          <w:b/>
          <w:color w:val="FF0000"/>
          <w:sz w:val="19"/>
          <w:szCs w:val="19"/>
        </w:rPr>
      </w:pPr>
      <w:r w:rsidRPr="00D74920">
        <w:rPr>
          <w:rFonts w:asciiTheme="minorHAnsi" w:hAnsiTheme="minorHAnsi" w:cstheme="minorHAnsi"/>
          <w:b/>
          <w:color w:val="auto"/>
          <w:sz w:val="19"/>
          <w:szCs w:val="19"/>
        </w:rPr>
        <w:t>Odpowiedź:</w:t>
      </w:r>
      <w:r w:rsidRPr="00C4324F">
        <w:rPr>
          <w:rFonts w:asciiTheme="minorHAnsi" w:hAnsiTheme="minorHAnsi" w:cstheme="minorHAnsi"/>
          <w:color w:val="auto"/>
          <w:sz w:val="19"/>
          <w:szCs w:val="19"/>
        </w:rPr>
        <w:t xml:space="preserve"> </w:t>
      </w:r>
      <w:r w:rsidR="00C4324F" w:rsidRPr="00C4324F">
        <w:rPr>
          <w:rFonts w:asciiTheme="minorHAnsi" w:hAnsiTheme="minorHAnsi" w:cstheme="minorHAnsi"/>
          <w:color w:val="auto"/>
          <w:sz w:val="19"/>
          <w:szCs w:val="19"/>
        </w:rPr>
        <w:t xml:space="preserve">Zamawiający po analizie zapisów wskazanych w pytaniu przez wykonawcę </w:t>
      </w:r>
      <w:r w:rsidR="00C4324F" w:rsidRPr="003F2FD8">
        <w:rPr>
          <w:rFonts w:asciiTheme="minorHAnsi" w:hAnsiTheme="minorHAnsi" w:cstheme="minorHAnsi"/>
          <w:b/>
          <w:color w:val="auto"/>
          <w:sz w:val="19"/>
          <w:szCs w:val="19"/>
        </w:rPr>
        <w:t>odstępuje od wymogu potwierdzenia</w:t>
      </w:r>
      <w:r w:rsidR="00C4324F" w:rsidRPr="00C4324F">
        <w:rPr>
          <w:rFonts w:asciiTheme="minorHAnsi" w:hAnsiTheme="minorHAnsi" w:cstheme="minorHAnsi"/>
          <w:color w:val="auto"/>
          <w:sz w:val="19"/>
          <w:szCs w:val="19"/>
        </w:rPr>
        <w:t xml:space="preserve"> obu </w:t>
      </w:r>
      <w:r w:rsidR="00C4324F" w:rsidRPr="003F2FD8">
        <w:rPr>
          <w:rFonts w:asciiTheme="minorHAnsi" w:hAnsiTheme="minorHAnsi" w:cstheme="minorHAnsi"/>
          <w:b/>
          <w:color w:val="auto"/>
          <w:sz w:val="19"/>
          <w:szCs w:val="19"/>
        </w:rPr>
        <w:t>działań</w:t>
      </w:r>
      <w:r w:rsidR="00635931">
        <w:rPr>
          <w:rFonts w:asciiTheme="minorHAnsi" w:hAnsiTheme="minorHAnsi" w:cstheme="minorHAnsi"/>
          <w:b/>
          <w:color w:val="auto"/>
          <w:sz w:val="19"/>
          <w:szCs w:val="19"/>
        </w:rPr>
        <w:t>,</w:t>
      </w:r>
      <w:r w:rsidR="00C4324F" w:rsidRPr="00C4324F">
        <w:rPr>
          <w:rFonts w:asciiTheme="minorHAnsi" w:hAnsiTheme="minorHAnsi" w:cstheme="minorHAnsi"/>
          <w:color w:val="auto"/>
          <w:sz w:val="19"/>
          <w:szCs w:val="19"/>
        </w:rPr>
        <w:t xml:space="preserve"> tj</w:t>
      </w:r>
      <w:r w:rsidR="00C4324F" w:rsidRPr="003F2FD8">
        <w:rPr>
          <w:rFonts w:asciiTheme="minorHAnsi" w:hAnsiTheme="minorHAnsi" w:cstheme="minorHAnsi"/>
          <w:b/>
          <w:color w:val="auto"/>
          <w:sz w:val="19"/>
          <w:szCs w:val="19"/>
        </w:rPr>
        <w:t xml:space="preserve">. hemostatycznego i </w:t>
      </w:r>
      <w:proofErr w:type="spellStart"/>
      <w:r w:rsidR="00C4324F" w:rsidRPr="003F2FD8">
        <w:rPr>
          <w:rFonts w:asciiTheme="minorHAnsi" w:hAnsiTheme="minorHAnsi" w:cstheme="minorHAnsi"/>
          <w:b/>
          <w:color w:val="auto"/>
          <w:sz w:val="19"/>
          <w:szCs w:val="19"/>
        </w:rPr>
        <w:t>przeciwzrostowego</w:t>
      </w:r>
      <w:proofErr w:type="spellEnd"/>
      <w:r w:rsidR="00C4324F" w:rsidRPr="00C4324F">
        <w:rPr>
          <w:rFonts w:asciiTheme="minorHAnsi" w:hAnsiTheme="minorHAnsi" w:cstheme="minorHAnsi"/>
          <w:color w:val="auto"/>
          <w:sz w:val="19"/>
          <w:szCs w:val="19"/>
        </w:rPr>
        <w:t xml:space="preserve"> </w:t>
      </w:r>
      <w:r w:rsidR="00C4324F" w:rsidRPr="003F2FD8">
        <w:rPr>
          <w:rFonts w:asciiTheme="minorHAnsi" w:hAnsiTheme="minorHAnsi" w:cstheme="minorHAnsi"/>
          <w:b/>
          <w:color w:val="auto"/>
          <w:sz w:val="19"/>
          <w:szCs w:val="19"/>
        </w:rPr>
        <w:t>certyfika</w:t>
      </w:r>
      <w:r w:rsidR="003F2FD8" w:rsidRPr="003F2FD8">
        <w:rPr>
          <w:rFonts w:asciiTheme="minorHAnsi" w:hAnsiTheme="minorHAnsi" w:cstheme="minorHAnsi"/>
          <w:b/>
          <w:color w:val="auto"/>
          <w:sz w:val="19"/>
          <w:szCs w:val="19"/>
        </w:rPr>
        <w:t>tem</w:t>
      </w:r>
      <w:r w:rsidR="00C4324F" w:rsidRPr="003F2FD8">
        <w:rPr>
          <w:rFonts w:asciiTheme="minorHAnsi" w:hAnsiTheme="minorHAnsi" w:cstheme="minorHAnsi"/>
          <w:b/>
          <w:color w:val="auto"/>
          <w:sz w:val="19"/>
          <w:szCs w:val="19"/>
        </w:rPr>
        <w:t xml:space="preserve"> CE</w:t>
      </w:r>
      <w:r w:rsidR="008827B1" w:rsidRPr="003F2FD8">
        <w:rPr>
          <w:rFonts w:asciiTheme="minorHAnsi" w:hAnsiTheme="minorHAnsi" w:cstheme="minorHAnsi"/>
          <w:b/>
          <w:color w:val="auto"/>
          <w:sz w:val="19"/>
          <w:szCs w:val="19"/>
        </w:rPr>
        <w:t>/jednostk</w:t>
      </w:r>
      <w:r w:rsidR="003F2FD8" w:rsidRPr="003F2FD8">
        <w:rPr>
          <w:rFonts w:asciiTheme="minorHAnsi" w:hAnsiTheme="minorHAnsi" w:cstheme="minorHAnsi"/>
          <w:b/>
          <w:color w:val="auto"/>
          <w:sz w:val="19"/>
          <w:szCs w:val="19"/>
        </w:rPr>
        <w:t>ą notyfikowaną</w:t>
      </w:r>
      <w:r w:rsidR="00C4324F" w:rsidRPr="00C4324F">
        <w:rPr>
          <w:rFonts w:asciiTheme="minorHAnsi" w:hAnsiTheme="minorHAnsi" w:cstheme="minorHAnsi"/>
          <w:color w:val="auto"/>
          <w:sz w:val="19"/>
          <w:szCs w:val="19"/>
        </w:rPr>
        <w:t>.</w:t>
      </w:r>
      <w:r w:rsidR="008827B1">
        <w:rPr>
          <w:rFonts w:asciiTheme="minorHAnsi" w:hAnsiTheme="minorHAnsi" w:cstheme="minorHAnsi"/>
          <w:color w:val="auto"/>
          <w:sz w:val="19"/>
          <w:szCs w:val="19"/>
        </w:rPr>
        <w:t xml:space="preserve"> Pozostałe wymagania zgodnie z SWZ</w:t>
      </w:r>
      <w:r w:rsidR="003F2FD8">
        <w:rPr>
          <w:rFonts w:asciiTheme="minorHAnsi" w:hAnsiTheme="minorHAnsi" w:cstheme="minorHAnsi"/>
          <w:color w:val="auto"/>
          <w:sz w:val="19"/>
          <w:szCs w:val="19"/>
        </w:rPr>
        <w:t xml:space="preserve"> – z uwzględnieniem pozostałych ewentualnych </w:t>
      </w:r>
      <w:proofErr w:type="spellStart"/>
      <w:r w:rsidR="003F2FD8">
        <w:rPr>
          <w:rFonts w:asciiTheme="minorHAnsi" w:hAnsiTheme="minorHAnsi" w:cstheme="minorHAnsi"/>
          <w:color w:val="auto"/>
          <w:sz w:val="19"/>
          <w:szCs w:val="19"/>
        </w:rPr>
        <w:t>dopuszczeń</w:t>
      </w:r>
      <w:proofErr w:type="spellEnd"/>
      <w:r w:rsidR="003F2FD8">
        <w:rPr>
          <w:rFonts w:asciiTheme="minorHAnsi" w:hAnsiTheme="minorHAnsi" w:cstheme="minorHAnsi"/>
          <w:color w:val="auto"/>
          <w:sz w:val="19"/>
          <w:szCs w:val="19"/>
        </w:rPr>
        <w:t>, wynikających z treści wyjaśnień i modyfikacji</w:t>
      </w:r>
      <w:r w:rsidR="008827B1">
        <w:rPr>
          <w:rFonts w:asciiTheme="minorHAnsi" w:hAnsiTheme="minorHAnsi" w:cstheme="minorHAnsi"/>
          <w:color w:val="auto"/>
          <w:sz w:val="19"/>
          <w:szCs w:val="19"/>
        </w:rPr>
        <w:t>.</w:t>
      </w:r>
      <w:r w:rsidR="007A1A38">
        <w:rPr>
          <w:rFonts w:asciiTheme="minorHAnsi" w:hAnsiTheme="minorHAnsi" w:cstheme="minorHAnsi"/>
          <w:color w:val="auto"/>
          <w:sz w:val="19"/>
          <w:szCs w:val="19"/>
        </w:rPr>
        <w:t xml:space="preserve"> </w:t>
      </w:r>
      <w:r w:rsidRPr="00916161">
        <w:rPr>
          <w:rFonts w:asciiTheme="minorHAnsi" w:hAnsiTheme="minorHAnsi" w:cstheme="minorHAnsi"/>
          <w:b/>
          <w:color w:val="FF0000"/>
          <w:sz w:val="19"/>
          <w:szCs w:val="19"/>
        </w:rPr>
        <w:t xml:space="preserve"> </w:t>
      </w:r>
    </w:p>
    <w:p w:rsidR="002E5EFE" w:rsidRPr="00D74920" w:rsidRDefault="002E5EFE"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2E5EFE" w:rsidRPr="00D74920" w:rsidRDefault="00635931"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Pr>
          <w:rFonts w:cstheme="minorHAnsi"/>
          <w:sz w:val="19"/>
          <w:szCs w:val="19"/>
        </w:rPr>
        <w:t xml:space="preserve">(31) </w:t>
      </w:r>
      <w:r w:rsidR="002E5EFE" w:rsidRPr="00D74920">
        <w:rPr>
          <w:rFonts w:cstheme="minorHAnsi"/>
          <w:sz w:val="19"/>
          <w:szCs w:val="19"/>
        </w:rPr>
        <w:t>Pytanie nr 2 dot. Zadania nr 16 poz. 1 i 2</w:t>
      </w:r>
    </w:p>
    <w:p w:rsidR="002E5EFE" w:rsidRPr="00D74920" w:rsidRDefault="002E5EFE" w:rsidP="00D74920">
      <w:pPr>
        <w:pStyle w:val="Akapitzlist"/>
        <w:tabs>
          <w:tab w:val="left" w:pos="284"/>
        </w:tabs>
        <w:spacing w:after="0" w:line="360" w:lineRule="auto"/>
        <w:ind w:left="0"/>
        <w:jc w:val="both"/>
        <w:rPr>
          <w:rFonts w:cstheme="minorHAnsi"/>
          <w:sz w:val="19"/>
          <w:szCs w:val="19"/>
        </w:rPr>
      </w:pPr>
      <w:r w:rsidRPr="003F2FD8">
        <w:rPr>
          <w:rFonts w:cstheme="minorHAnsi"/>
          <w:sz w:val="19"/>
          <w:szCs w:val="19"/>
        </w:rPr>
        <w:t xml:space="preserve">„Wnosimy o odstąpienie i wykreślenie przez Zamawiającego w Zadaniu nr 16 poz. 1 i 2 w formularzu cen jednostkowych wymogu udokumentowania min. 3 badaniami działania </w:t>
      </w:r>
      <w:proofErr w:type="spellStart"/>
      <w:r w:rsidRPr="003F2FD8">
        <w:rPr>
          <w:rFonts w:cstheme="minorHAnsi"/>
          <w:sz w:val="19"/>
          <w:szCs w:val="19"/>
        </w:rPr>
        <w:t>przeciwzrostowego</w:t>
      </w:r>
      <w:proofErr w:type="spellEnd"/>
      <w:r w:rsidRPr="003F2FD8">
        <w:rPr>
          <w:rFonts w:cstheme="minorHAnsi"/>
          <w:sz w:val="19"/>
          <w:szCs w:val="19"/>
        </w:rPr>
        <w:t xml:space="preserve"> na ludziach o min. 70% skuteczności,</w:t>
      </w:r>
      <w:r w:rsidRPr="00D74920">
        <w:rPr>
          <w:rFonts w:cstheme="minorHAnsi"/>
          <w:sz w:val="19"/>
          <w:szCs w:val="19"/>
        </w:rPr>
        <w:t xml:space="preserve"> który narusza przepisy ustawy z dnia 11 września 2019 r. Prawo zamówień publicznych (tj. Dz. U. 2021 </w:t>
      </w:r>
      <w:proofErr w:type="gramStart"/>
      <w:r w:rsidRPr="00D74920">
        <w:rPr>
          <w:rFonts w:cstheme="minorHAnsi"/>
          <w:sz w:val="19"/>
          <w:szCs w:val="19"/>
        </w:rPr>
        <w:t>poz</w:t>
      </w:r>
      <w:proofErr w:type="gramEnd"/>
      <w:r w:rsidRPr="00D74920">
        <w:rPr>
          <w:rFonts w:cstheme="minorHAnsi"/>
          <w:sz w:val="19"/>
          <w:szCs w:val="19"/>
        </w:rPr>
        <w:t xml:space="preserve">. 1129 z zm.), w szczególności </w:t>
      </w:r>
      <w:r w:rsidRPr="00D74920">
        <w:rPr>
          <w:rFonts w:cstheme="minorHAnsi"/>
          <w:sz w:val="19"/>
          <w:szCs w:val="19"/>
        </w:rPr>
        <w:lastRenderedPageBreak/>
        <w:t xml:space="preserve">zasadę uczciwej konkurencji i równego traktowania Wykonawców bądź zmianę zapisów treści SWZ poprzez wymóg udokumentowania działania </w:t>
      </w:r>
      <w:proofErr w:type="spellStart"/>
      <w:r w:rsidRPr="00D74920">
        <w:rPr>
          <w:rFonts w:cstheme="minorHAnsi"/>
          <w:sz w:val="19"/>
          <w:szCs w:val="19"/>
        </w:rPr>
        <w:t>przeciwzrostowego</w:t>
      </w:r>
      <w:proofErr w:type="spellEnd"/>
      <w:r w:rsidRPr="00D74920">
        <w:rPr>
          <w:rFonts w:cstheme="minorHAnsi"/>
          <w:sz w:val="19"/>
          <w:szCs w:val="19"/>
        </w:rPr>
        <w:t xml:space="preserve"> minimum 3 dokumentami dotyczącymi zaoferowanego środka hemostatycznego”.</w:t>
      </w:r>
    </w:p>
    <w:p w:rsidR="002E5EFE" w:rsidRPr="00D74920" w:rsidRDefault="002E5EFE" w:rsidP="00D74920">
      <w:pPr>
        <w:pStyle w:val="Akapitzlist"/>
        <w:tabs>
          <w:tab w:val="left" w:pos="284"/>
        </w:tabs>
        <w:spacing w:after="0" w:line="360" w:lineRule="auto"/>
        <w:ind w:left="0"/>
        <w:jc w:val="both"/>
        <w:rPr>
          <w:rFonts w:cstheme="minorHAnsi"/>
          <w:sz w:val="19"/>
          <w:szCs w:val="19"/>
        </w:rPr>
      </w:pPr>
      <w:r w:rsidRPr="00D74920">
        <w:rPr>
          <w:rFonts w:cstheme="minorHAnsi"/>
          <w:sz w:val="19"/>
          <w:szCs w:val="19"/>
        </w:rPr>
        <w:t xml:space="preserve">Podkreślamy, że Zamawiający wymagając udokumentowania min. 3 badaniami działania </w:t>
      </w:r>
      <w:proofErr w:type="spellStart"/>
      <w:r w:rsidRPr="00D74920">
        <w:rPr>
          <w:rFonts w:cstheme="minorHAnsi"/>
          <w:sz w:val="19"/>
          <w:szCs w:val="19"/>
        </w:rPr>
        <w:t>przeciwzrostowego</w:t>
      </w:r>
      <w:proofErr w:type="spellEnd"/>
      <w:r w:rsidRPr="00D74920">
        <w:rPr>
          <w:rFonts w:cstheme="minorHAnsi"/>
          <w:sz w:val="19"/>
          <w:szCs w:val="19"/>
        </w:rPr>
        <w:t xml:space="preserve"> na </w:t>
      </w:r>
      <w:proofErr w:type="gramStart"/>
      <w:r w:rsidRPr="00D74920">
        <w:rPr>
          <w:rFonts w:cstheme="minorHAnsi"/>
          <w:sz w:val="19"/>
          <w:szCs w:val="19"/>
        </w:rPr>
        <w:t>ludziach                 o</w:t>
      </w:r>
      <w:proofErr w:type="gramEnd"/>
      <w:r w:rsidRPr="00D74920">
        <w:rPr>
          <w:rFonts w:cstheme="minorHAnsi"/>
          <w:sz w:val="19"/>
          <w:szCs w:val="19"/>
        </w:rPr>
        <w:t xml:space="preserve"> min. 70% skuteczności, które posiada jedynie produkt 4Dry, naruszył zasadę uczciwej konkurencji doprowadzając                    </w:t>
      </w:r>
      <w:r w:rsidR="008E7A82">
        <w:rPr>
          <w:rFonts w:cstheme="minorHAnsi"/>
          <w:sz w:val="19"/>
          <w:szCs w:val="19"/>
        </w:rPr>
        <w:t xml:space="preserve">                </w:t>
      </w:r>
      <w:r w:rsidRPr="00D74920">
        <w:rPr>
          <w:rFonts w:cstheme="minorHAnsi"/>
          <w:sz w:val="19"/>
          <w:szCs w:val="19"/>
        </w:rPr>
        <w:t xml:space="preserve">do wyeliminowania innych Wykonawców z postępowania ograniczając możliwość złożenia oferty przez jednego Wykonawcy, a niezasadne i bezpodstawne ograniczenie innym oferentom dostępu do zamówienia publicznego skutkuje pozbawieniem Zamawiającego możliwości uzyskania korzystniejszych cen w przedmiotowym postępowaniu. W myśl art. 16 ustawy PZP Zamawiający przygotowuje i przeprowadza postępowanie o udzielenie zamówienia publicznego w sposób zapewniający zachowanie uczciwej konkurencji oraz równe traktowanie wykonawców. Posiadanie przez Oferenta min. 3 badań potwierdzających działanie </w:t>
      </w:r>
      <w:proofErr w:type="spellStart"/>
      <w:r w:rsidRPr="00D74920">
        <w:rPr>
          <w:rFonts w:cstheme="minorHAnsi"/>
          <w:sz w:val="19"/>
          <w:szCs w:val="19"/>
        </w:rPr>
        <w:t>przeciwzrostowe</w:t>
      </w:r>
      <w:proofErr w:type="spellEnd"/>
      <w:r w:rsidRPr="00D74920">
        <w:rPr>
          <w:rFonts w:cstheme="minorHAnsi"/>
          <w:sz w:val="19"/>
          <w:szCs w:val="19"/>
        </w:rPr>
        <w:t xml:space="preserve"> na ludziach o min. 70% winno być przedmiotem </w:t>
      </w:r>
      <w:proofErr w:type="spellStart"/>
      <w:r w:rsidRPr="00D74920">
        <w:rPr>
          <w:rFonts w:cstheme="minorHAnsi"/>
          <w:sz w:val="19"/>
          <w:szCs w:val="19"/>
        </w:rPr>
        <w:t>pozacenowych</w:t>
      </w:r>
      <w:proofErr w:type="spellEnd"/>
      <w:r w:rsidRPr="00D74920">
        <w:rPr>
          <w:rFonts w:cstheme="minorHAnsi"/>
          <w:sz w:val="19"/>
          <w:szCs w:val="19"/>
        </w:rPr>
        <w:t xml:space="preserve"> kryteriów oceny ofert, za które Wykonawcy mogliby uzyskać dodatkową liczbę punktów, nie blokując w ten sposób innym Wykonawcom możliwości złożenia oferty w przedmiotowym zadaniu, analogicznie jak w postępowaniu przetargowym znak sprawy ZP/220/75/19, w którym Zamawiający badania kliniczne u ludzi potwierdzające skuteczności i bezpieczeństwo stosowania preparatu w zakresie działania hemostatycznego i </w:t>
      </w:r>
      <w:proofErr w:type="spellStart"/>
      <w:r w:rsidRPr="00D74920">
        <w:rPr>
          <w:rFonts w:cstheme="minorHAnsi"/>
          <w:sz w:val="19"/>
          <w:szCs w:val="19"/>
        </w:rPr>
        <w:t>przeciwzrostowego</w:t>
      </w:r>
      <w:proofErr w:type="spellEnd"/>
      <w:r w:rsidRPr="00D74920">
        <w:rPr>
          <w:rFonts w:cstheme="minorHAnsi"/>
          <w:sz w:val="19"/>
          <w:szCs w:val="19"/>
        </w:rPr>
        <w:t xml:space="preserve"> ujął w </w:t>
      </w:r>
      <w:proofErr w:type="gramStart"/>
      <w:r w:rsidRPr="00D74920">
        <w:rPr>
          <w:rFonts w:cstheme="minorHAnsi"/>
          <w:sz w:val="19"/>
          <w:szCs w:val="19"/>
        </w:rPr>
        <w:t>kryteriach jakości</w:t>
      </w:r>
      <w:proofErr w:type="gramEnd"/>
      <w:r w:rsidRPr="00D74920">
        <w:rPr>
          <w:rFonts w:cstheme="minorHAnsi"/>
          <w:sz w:val="19"/>
          <w:szCs w:val="19"/>
        </w:rPr>
        <w:t>.</w:t>
      </w:r>
    </w:p>
    <w:p w:rsidR="002E5EFE" w:rsidRPr="00916161" w:rsidRDefault="002E5EFE" w:rsidP="00D74920">
      <w:pPr>
        <w:pStyle w:val="Default"/>
        <w:tabs>
          <w:tab w:val="left" w:pos="284"/>
          <w:tab w:val="left" w:pos="851"/>
        </w:tabs>
        <w:spacing w:line="360" w:lineRule="auto"/>
        <w:jc w:val="both"/>
        <w:rPr>
          <w:rFonts w:asciiTheme="minorHAnsi" w:hAnsiTheme="minorHAnsi" w:cstheme="minorHAnsi"/>
          <w:b/>
          <w:color w:val="FF0000"/>
          <w:sz w:val="19"/>
          <w:szCs w:val="19"/>
        </w:rPr>
      </w:pPr>
      <w:r w:rsidRPr="00D74920">
        <w:rPr>
          <w:rFonts w:asciiTheme="minorHAnsi" w:hAnsiTheme="minorHAnsi" w:cstheme="minorHAnsi"/>
          <w:b/>
          <w:color w:val="auto"/>
          <w:sz w:val="19"/>
          <w:szCs w:val="19"/>
        </w:rPr>
        <w:t xml:space="preserve">Odpowiedź: </w:t>
      </w:r>
      <w:r w:rsidR="00C4324F" w:rsidRPr="00C4324F">
        <w:rPr>
          <w:rFonts w:asciiTheme="minorHAnsi" w:hAnsiTheme="minorHAnsi" w:cstheme="minorHAnsi"/>
          <w:color w:val="auto"/>
          <w:sz w:val="19"/>
          <w:szCs w:val="19"/>
        </w:rPr>
        <w:t xml:space="preserve">Zamawiający </w:t>
      </w:r>
      <w:r w:rsidR="00C4324F" w:rsidRPr="00F236C6">
        <w:rPr>
          <w:rFonts w:asciiTheme="minorHAnsi" w:hAnsiTheme="minorHAnsi" w:cstheme="minorHAnsi"/>
          <w:b/>
          <w:color w:val="auto"/>
          <w:sz w:val="19"/>
          <w:szCs w:val="19"/>
        </w:rPr>
        <w:t>odstępuje od</w:t>
      </w:r>
      <w:r w:rsidR="00C4324F" w:rsidRPr="00C4324F">
        <w:rPr>
          <w:rFonts w:asciiTheme="minorHAnsi" w:hAnsiTheme="minorHAnsi" w:cstheme="minorHAnsi"/>
          <w:color w:val="auto"/>
          <w:sz w:val="19"/>
          <w:szCs w:val="19"/>
        </w:rPr>
        <w:t xml:space="preserve"> wskazanego w pytaniu </w:t>
      </w:r>
      <w:r w:rsidR="00C4324F" w:rsidRPr="00F236C6">
        <w:rPr>
          <w:rFonts w:asciiTheme="minorHAnsi" w:hAnsiTheme="minorHAnsi" w:cstheme="minorHAnsi"/>
          <w:b/>
          <w:color w:val="auto"/>
          <w:sz w:val="19"/>
          <w:szCs w:val="19"/>
        </w:rPr>
        <w:t>wymogu</w:t>
      </w:r>
      <w:r w:rsidR="003B0BAF" w:rsidRPr="00F236C6">
        <w:rPr>
          <w:rFonts w:asciiTheme="minorHAnsi" w:hAnsiTheme="minorHAnsi" w:cstheme="minorHAnsi"/>
          <w:b/>
          <w:color w:val="auto"/>
          <w:sz w:val="19"/>
          <w:szCs w:val="19"/>
        </w:rPr>
        <w:t xml:space="preserve"> dotyczącego</w:t>
      </w:r>
      <w:r w:rsidR="00F236C6" w:rsidRPr="00F236C6">
        <w:rPr>
          <w:rFonts w:asciiTheme="minorHAnsi" w:hAnsiTheme="minorHAnsi" w:cstheme="minorHAnsi"/>
          <w:b/>
          <w:color w:val="auto"/>
          <w:sz w:val="19"/>
          <w:szCs w:val="19"/>
        </w:rPr>
        <w:t xml:space="preserve"> </w:t>
      </w:r>
      <w:r w:rsidR="003B0BAF" w:rsidRPr="00F236C6">
        <w:rPr>
          <w:rFonts w:asciiTheme="minorHAnsi" w:hAnsiTheme="minorHAnsi" w:cstheme="minorHAnsi"/>
          <w:b/>
          <w:color w:val="auto"/>
          <w:sz w:val="19"/>
          <w:szCs w:val="19"/>
        </w:rPr>
        <w:t>70%</w:t>
      </w:r>
      <w:r w:rsidR="00C4324F" w:rsidRPr="00F236C6">
        <w:rPr>
          <w:rFonts w:asciiTheme="minorHAnsi" w:hAnsiTheme="minorHAnsi" w:cstheme="minorHAnsi"/>
          <w:b/>
          <w:color w:val="auto"/>
          <w:sz w:val="19"/>
          <w:szCs w:val="19"/>
        </w:rPr>
        <w:t xml:space="preserve"> </w:t>
      </w:r>
      <w:r w:rsidR="00F236C6" w:rsidRPr="00F236C6">
        <w:rPr>
          <w:rFonts w:asciiTheme="minorHAnsi" w:hAnsiTheme="minorHAnsi" w:cstheme="minorHAnsi"/>
          <w:b/>
          <w:color w:val="auto"/>
          <w:sz w:val="19"/>
          <w:szCs w:val="19"/>
        </w:rPr>
        <w:t>skuteczności</w:t>
      </w:r>
      <w:r w:rsidR="00635931">
        <w:rPr>
          <w:rFonts w:asciiTheme="minorHAnsi" w:hAnsiTheme="minorHAnsi" w:cstheme="minorHAnsi"/>
          <w:b/>
          <w:color w:val="auto"/>
          <w:sz w:val="19"/>
          <w:szCs w:val="19"/>
        </w:rPr>
        <w:t>,</w:t>
      </w:r>
      <w:r w:rsidR="00F236C6">
        <w:rPr>
          <w:rFonts w:asciiTheme="minorHAnsi" w:hAnsiTheme="minorHAnsi" w:cstheme="minorHAnsi"/>
          <w:color w:val="auto"/>
          <w:sz w:val="19"/>
          <w:szCs w:val="19"/>
        </w:rPr>
        <w:t xml:space="preserve"> </w:t>
      </w:r>
      <w:r w:rsidR="00C4324F" w:rsidRPr="00C4324F">
        <w:rPr>
          <w:rFonts w:asciiTheme="minorHAnsi" w:hAnsiTheme="minorHAnsi" w:cstheme="minorHAnsi"/>
          <w:color w:val="auto"/>
          <w:sz w:val="19"/>
          <w:szCs w:val="19"/>
        </w:rPr>
        <w:t xml:space="preserve">wymagając jedynie potwierdzenia przez wykonawcę działania </w:t>
      </w:r>
      <w:proofErr w:type="spellStart"/>
      <w:r w:rsidR="00C4324F" w:rsidRPr="00C4324F">
        <w:rPr>
          <w:rFonts w:asciiTheme="minorHAnsi" w:hAnsiTheme="minorHAnsi" w:cstheme="minorHAnsi"/>
          <w:color w:val="auto"/>
          <w:sz w:val="19"/>
          <w:szCs w:val="19"/>
        </w:rPr>
        <w:t>przeciwzrostowego</w:t>
      </w:r>
      <w:proofErr w:type="spellEnd"/>
      <w:r w:rsidR="00C4324F" w:rsidRPr="00C4324F">
        <w:rPr>
          <w:rFonts w:asciiTheme="minorHAnsi" w:hAnsiTheme="minorHAnsi" w:cstheme="minorHAnsi"/>
          <w:color w:val="auto"/>
          <w:sz w:val="19"/>
          <w:szCs w:val="19"/>
        </w:rPr>
        <w:t xml:space="preserve"> na ludziach (np. badanie kliniczne, publikacje, artykuły itp.</w:t>
      </w:r>
      <w:r w:rsidR="00F236C6">
        <w:rPr>
          <w:rFonts w:asciiTheme="minorHAnsi" w:hAnsiTheme="minorHAnsi" w:cstheme="minorHAnsi"/>
          <w:color w:val="auto"/>
          <w:sz w:val="19"/>
          <w:szCs w:val="19"/>
        </w:rPr>
        <w:t xml:space="preserve"> – </w:t>
      </w:r>
      <w:r w:rsidR="008552BD">
        <w:rPr>
          <w:rFonts w:asciiTheme="minorHAnsi" w:hAnsiTheme="minorHAnsi" w:cstheme="minorHAnsi"/>
          <w:color w:val="auto"/>
          <w:sz w:val="19"/>
          <w:szCs w:val="19"/>
        </w:rPr>
        <w:t xml:space="preserve">wymagane </w:t>
      </w:r>
      <w:r w:rsidR="00F236C6">
        <w:rPr>
          <w:rFonts w:asciiTheme="minorHAnsi" w:hAnsiTheme="minorHAnsi" w:cstheme="minorHAnsi"/>
          <w:color w:val="auto"/>
          <w:sz w:val="19"/>
          <w:szCs w:val="19"/>
        </w:rPr>
        <w:t>minimum 3</w:t>
      </w:r>
      <w:r w:rsidR="00C4324F" w:rsidRPr="00C4324F">
        <w:rPr>
          <w:rFonts w:asciiTheme="minorHAnsi" w:hAnsiTheme="minorHAnsi" w:cstheme="minorHAnsi"/>
          <w:color w:val="auto"/>
          <w:sz w:val="19"/>
          <w:szCs w:val="19"/>
        </w:rPr>
        <w:t>). Zamawiający nie dopuszcza udowodnienia tego działania na zwierzętach (wymagane badania u ludzi).</w:t>
      </w:r>
      <w:r w:rsidRPr="00916161">
        <w:rPr>
          <w:rFonts w:asciiTheme="minorHAnsi" w:hAnsiTheme="minorHAnsi" w:cstheme="minorHAnsi"/>
          <w:b/>
          <w:color w:val="FF0000"/>
          <w:sz w:val="19"/>
          <w:szCs w:val="19"/>
        </w:rPr>
        <w:t xml:space="preserve"> </w:t>
      </w:r>
      <w:r w:rsidR="004754ED">
        <w:rPr>
          <w:rFonts w:asciiTheme="minorHAnsi" w:hAnsiTheme="minorHAnsi" w:cstheme="minorHAnsi"/>
          <w:color w:val="auto"/>
          <w:sz w:val="19"/>
          <w:szCs w:val="19"/>
        </w:rPr>
        <w:t xml:space="preserve">Pozostałe wymagania zgodnie z SWZ – z uwzględnieniem pozostałych ewentualnych </w:t>
      </w:r>
      <w:proofErr w:type="spellStart"/>
      <w:r w:rsidR="004754ED">
        <w:rPr>
          <w:rFonts w:asciiTheme="minorHAnsi" w:hAnsiTheme="minorHAnsi" w:cstheme="minorHAnsi"/>
          <w:color w:val="auto"/>
          <w:sz w:val="19"/>
          <w:szCs w:val="19"/>
        </w:rPr>
        <w:t>dopuszczeń</w:t>
      </w:r>
      <w:proofErr w:type="spellEnd"/>
      <w:r w:rsidR="004754ED">
        <w:rPr>
          <w:rFonts w:asciiTheme="minorHAnsi" w:hAnsiTheme="minorHAnsi" w:cstheme="minorHAnsi"/>
          <w:color w:val="auto"/>
          <w:sz w:val="19"/>
          <w:szCs w:val="19"/>
        </w:rPr>
        <w:t xml:space="preserve">, wynikających z treści wyjaśnień i modyfikacji. </w:t>
      </w:r>
      <w:r w:rsidR="004754ED" w:rsidRPr="00916161">
        <w:rPr>
          <w:rFonts w:asciiTheme="minorHAnsi" w:hAnsiTheme="minorHAnsi" w:cstheme="minorHAnsi"/>
          <w:b/>
          <w:color w:val="FF0000"/>
          <w:sz w:val="19"/>
          <w:szCs w:val="19"/>
        </w:rPr>
        <w:t xml:space="preserve"> </w:t>
      </w:r>
    </w:p>
    <w:p w:rsidR="002E5EFE" w:rsidRPr="00D74920" w:rsidRDefault="002E5EFE" w:rsidP="00D74920">
      <w:pPr>
        <w:pStyle w:val="Akapitzlist"/>
        <w:tabs>
          <w:tab w:val="left" w:pos="284"/>
        </w:tabs>
        <w:spacing w:after="0" w:line="360" w:lineRule="auto"/>
        <w:ind w:left="0"/>
        <w:jc w:val="both"/>
        <w:rPr>
          <w:rFonts w:cstheme="minorHAnsi"/>
          <w:sz w:val="19"/>
          <w:szCs w:val="19"/>
        </w:rPr>
      </w:pPr>
    </w:p>
    <w:p w:rsidR="002E5EFE" w:rsidRPr="00D74920" w:rsidRDefault="004A2BFE" w:rsidP="00D74920">
      <w:pPr>
        <w:pStyle w:val="Nagwek"/>
        <w:widowControl w:val="0"/>
        <w:numPr>
          <w:ilvl w:val="0"/>
          <w:numId w:val="16"/>
        </w:numPr>
        <w:suppressLineNumbers/>
        <w:tabs>
          <w:tab w:val="clear" w:pos="4536"/>
          <w:tab w:val="clear" w:pos="9072"/>
          <w:tab w:val="left" w:pos="284"/>
        </w:tabs>
        <w:suppressAutoHyphens/>
        <w:spacing w:line="360" w:lineRule="auto"/>
        <w:ind w:left="0" w:firstLine="0"/>
        <w:jc w:val="both"/>
        <w:rPr>
          <w:rFonts w:cstheme="minorHAnsi"/>
          <w:sz w:val="19"/>
          <w:szCs w:val="19"/>
          <w:lang w:eastAsia="pl-PL"/>
        </w:rPr>
      </w:pPr>
      <w:r>
        <w:rPr>
          <w:rFonts w:cstheme="minorHAnsi"/>
          <w:sz w:val="19"/>
          <w:szCs w:val="19"/>
          <w:lang w:eastAsia="pl-PL"/>
        </w:rPr>
        <w:t xml:space="preserve">(34) </w:t>
      </w:r>
      <w:r w:rsidR="002E5EFE" w:rsidRPr="00D74920">
        <w:rPr>
          <w:rFonts w:cstheme="minorHAnsi"/>
          <w:sz w:val="19"/>
          <w:szCs w:val="19"/>
          <w:lang w:eastAsia="pl-PL"/>
        </w:rPr>
        <w:t xml:space="preserve">Pytanie nr 5 dot. wzoru umowy </w:t>
      </w:r>
      <w:r w:rsidR="002E5EFE" w:rsidRPr="00D74920">
        <w:rPr>
          <w:rFonts w:cstheme="minorHAnsi"/>
          <w:sz w:val="19"/>
          <w:szCs w:val="19"/>
        </w:rPr>
        <w:t xml:space="preserve">Prosimy o wprowadzenie do wzoru umowy </w:t>
      </w:r>
      <w:r w:rsidR="002E5EFE" w:rsidRPr="001C2917">
        <w:rPr>
          <w:rFonts w:cstheme="minorHAnsi"/>
          <w:sz w:val="19"/>
          <w:szCs w:val="19"/>
        </w:rPr>
        <w:t xml:space="preserve">postanowień </w:t>
      </w:r>
      <w:proofErr w:type="gramStart"/>
      <w:r w:rsidR="002E5EFE" w:rsidRPr="001C2917">
        <w:rPr>
          <w:rFonts w:cstheme="minorHAnsi"/>
          <w:sz w:val="19"/>
          <w:szCs w:val="19"/>
        </w:rPr>
        <w:t>waloryzacyjnych</w:t>
      </w:r>
      <w:r w:rsidR="002E5EFE" w:rsidRPr="00D74920">
        <w:rPr>
          <w:rFonts w:cstheme="minorHAnsi"/>
          <w:sz w:val="19"/>
          <w:szCs w:val="19"/>
        </w:rPr>
        <w:t xml:space="preserve">, </w:t>
      </w:r>
      <w:r>
        <w:rPr>
          <w:rFonts w:cstheme="minorHAnsi"/>
          <w:sz w:val="19"/>
          <w:szCs w:val="19"/>
        </w:rPr>
        <w:t xml:space="preserve">                                 </w:t>
      </w:r>
      <w:r w:rsidR="002E5EFE" w:rsidRPr="00D74920">
        <w:rPr>
          <w:rFonts w:cstheme="minorHAnsi"/>
          <w:sz w:val="19"/>
          <w:szCs w:val="19"/>
        </w:rPr>
        <w:t>tj</w:t>
      </w:r>
      <w:proofErr w:type="gramEnd"/>
      <w:r w:rsidR="002E5EFE" w:rsidRPr="00D74920">
        <w:rPr>
          <w:rFonts w:cstheme="minorHAnsi"/>
          <w:sz w:val="19"/>
          <w:szCs w:val="19"/>
        </w:rPr>
        <w:t xml:space="preserve">. postanowień dotyczących zasad zmian wysokości wynagrodzenia, zgodnie z treścią art. 440 ustawy Prawo zamówień publicznych. Aktualna sytuacja rynkowa, charakteryzująca się znaczącym wzrostem inflacji w Polsce powoduje, iż oferta cenowa składana w trakcie postępowania przetargowego może stać się niewystarczająca dla prawidłowej realizacji umowy przetargowej. Oferent, który wygrał przetarg, w celu realizacji umowy przetargowej może </w:t>
      </w:r>
      <w:proofErr w:type="gramStart"/>
      <w:r w:rsidR="002E5EFE" w:rsidRPr="00D74920">
        <w:rPr>
          <w:rFonts w:cstheme="minorHAnsi"/>
          <w:sz w:val="19"/>
          <w:szCs w:val="19"/>
        </w:rPr>
        <w:t>być bowiem</w:t>
      </w:r>
      <w:proofErr w:type="gramEnd"/>
      <w:r w:rsidR="002E5EFE" w:rsidRPr="00D74920">
        <w:rPr>
          <w:rFonts w:cstheme="minorHAnsi"/>
          <w:sz w:val="19"/>
          <w:szCs w:val="19"/>
        </w:rPr>
        <w:t xml:space="preserve"> zmuszony do zakupu produktów lub usług po cenach dużo wyższych niż te, które były aktualne w momencie konstruowania oferty przetargowej. W efekcie, wykonawca przetargu może finansowo nie podołać tej sytuacji, co doprowadzi do niezrealizowania przez niego dostaw wynikających z umowy przetargowej, z niekorzyścią dla Zamawiającego. W świetle powyższego rosimy o dodanie postanowień waloryzacyjnych, skonstruowanych w zgodzie z art. 439 ust. 2-4 ustawy Prawo zamówień publicznych, będzie służyło nie tylko obronie wykonawcy przetargu przed zmianami cen, na które nie ma on wpływu, ale przede wszystkim zabezpieczy interes zamawiającego, zapewniając prawidłową i niezakłóconą realizację dostaw produktów objętych umową przetargową.</w:t>
      </w:r>
    </w:p>
    <w:p w:rsidR="002E5EFE" w:rsidRDefault="002E5EFE" w:rsidP="00D74920">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t>Odpowiedź:</w:t>
      </w:r>
      <w:r w:rsidR="001C2917">
        <w:rPr>
          <w:rFonts w:asciiTheme="minorHAnsi" w:hAnsiTheme="minorHAnsi" w:cstheme="minorHAnsi"/>
          <w:b/>
          <w:color w:val="auto"/>
          <w:sz w:val="19"/>
          <w:szCs w:val="19"/>
        </w:rPr>
        <w:t xml:space="preserve"> </w:t>
      </w:r>
      <w:r w:rsidR="001C2917">
        <w:rPr>
          <w:rFonts w:asciiTheme="minorHAnsi" w:hAnsiTheme="minorHAnsi" w:cstheme="minorHAnsi"/>
          <w:color w:val="auto"/>
          <w:sz w:val="19"/>
          <w:szCs w:val="19"/>
        </w:rPr>
        <w:t>zamawiający wyraża zgodę i dokona modyfikacji SWZ, wprowadzając do „Projektowanych postanowień umowy” stosowne zapisy waloryzacyjne.</w:t>
      </w:r>
      <w:r w:rsidRPr="00D74920">
        <w:rPr>
          <w:rFonts w:asciiTheme="minorHAnsi" w:hAnsiTheme="minorHAnsi" w:cstheme="minorHAnsi"/>
          <w:b/>
          <w:color w:val="auto"/>
          <w:sz w:val="19"/>
          <w:szCs w:val="19"/>
        </w:rPr>
        <w:t xml:space="preserve"> </w:t>
      </w:r>
    </w:p>
    <w:p w:rsidR="001C2917" w:rsidRPr="00D74920" w:rsidRDefault="001C2917" w:rsidP="00D74920">
      <w:pPr>
        <w:pStyle w:val="Default"/>
        <w:tabs>
          <w:tab w:val="left" w:pos="284"/>
          <w:tab w:val="left" w:pos="851"/>
        </w:tabs>
        <w:spacing w:line="360" w:lineRule="auto"/>
        <w:jc w:val="both"/>
        <w:rPr>
          <w:rFonts w:asciiTheme="minorHAnsi" w:hAnsiTheme="minorHAnsi" w:cstheme="minorHAnsi"/>
          <w:color w:val="auto"/>
          <w:sz w:val="19"/>
          <w:szCs w:val="19"/>
        </w:rPr>
      </w:pPr>
    </w:p>
    <w:p w:rsidR="00E31B91" w:rsidRPr="00C1266E" w:rsidRDefault="00E31B91" w:rsidP="00D74920">
      <w:pPr>
        <w:pStyle w:val="Nagwek1"/>
        <w:spacing w:before="0" w:line="360" w:lineRule="auto"/>
        <w:rPr>
          <w:rFonts w:asciiTheme="minorHAnsi" w:hAnsiTheme="minorHAnsi" w:cstheme="minorHAnsi"/>
          <w:b/>
          <w:color w:val="auto"/>
          <w:sz w:val="19"/>
          <w:szCs w:val="19"/>
          <w:lang w:eastAsia="pl-PL"/>
        </w:rPr>
      </w:pPr>
      <w:r w:rsidRPr="00C1266E">
        <w:rPr>
          <w:rFonts w:asciiTheme="minorHAnsi" w:hAnsiTheme="minorHAnsi" w:cstheme="minorHAnsi"/>
          <w:b/>
          <w:color w:val="auto"/>
          <w:sz w:val="19"/>
          <w:szCs w:val="19"/>
          <w:lang w:eastAsia="pl-PL"/>
        </w:rPr>
        <w:t>WYKONAWCA IV</w:t>
      </w:r>
      <w:r w:rsidR="00D74920" w:rsidRPr="00C1266E">
        <w:rPr>
          <w:rFonts w:asciiTheme="minorHAnsi" w:hAnsiTheme="minorHAnsi" w:cstheme="minorHAnsi"/>
          <w:b/>
          <w:color w:val="auto"/>
          <w:sz w:val="19"/>
          <w:szCs w:val="19"/>
          <w:lang w:eastAsia="pl-PL"/>
        </w:rPr>
        <w:t xml:space="preserve"> (35-36)</w:t>
      </w:r>
    </w:p>
    <w:p w:rsidR="00E31B91" w:rsidRPr="00D74920" w:rsidRDefault="004A2BFE" w:rsidP="00D74920">
      <w:pPr>
        <w:pStyle w:val="Akapitzlist"/>
        <w:numPr>
          <w:ilvl w:val="0"/>
          <w:numId w:val="16"/>
        </w:numPr>
        <w:tabs>
          <w:tab w:val="left" w:pos="284"/>
        </w:tabs>
        <w:autoSpaceDE w:val="0"/>
        <w:autoSpaceDN w:val="0"/>
        <w:adjustRightInd w:val="0"/>
        <w:spacing w:after="0" w:line="360" w:lineRule="auto"/>
        <w:ind w:left="0" w:firstLine="0"/>
        <w:contextualSpacing w:val="0"/>
        <w:jc w:val="both"/>
        <w:rPr>
          <w:rFonts w:cstheme="minorHAnsi"/>
          <w:sz w:val="19"/>
          <w:szCs w:val="19"/>
        </w:rPr>
      </w:pPr>
      <w:r>
        <w:rPr>
          <w:rFonts w:cstheme="minorHAnsi"/>
          <w:bCs/>
          <w:sz w:val="19"/>
          <w:szCs w:val="19"/>
        </w:rPr>
        <w:t xml:space="preserve">(35) </w:t>
      </w:r>
      <w:r w:rsidR="00E31B91" w:rsidRPr="00D74920">
        <w:rPr>
          <w:rFonts w:cstheme="minorHAnsi"/>
          <w:bCs/>
          <w:sz w:val="19"/>
          <w:szCs w:val="19"/>
        </w:rPr>
        <w:t xml:space="preserve">Dotyczy Zapis </w:t>
      </w:r>
      <w:proofErr w:type="gramStart"/>
      <w:r w:rsidR="00E31B91" w:rsidRPr="00D74920">
        <w:rPr>
          <w:rFonts w:cstheme="minorHAnsi"/>
          <w:bCs/>
          <w:sz w:val="19"/>
          <w:szCs w:val="19"/>
        </w:rPr>
        <w:t xml:space="preserve">SWZ:  </w:t>
      </w:r>
      <w:r w:rsidR="00E31B91" w:rsidRPr="00D74920">
        <w:rPr>
          <w:rFonts w:eastAsiaTheme="minorHAnsi" w:cstheme="minorHAnsi"/>
          <w:sz w:val="19"/>
          <w:szCs w:val="19"/>
        </w:rPr>
        <w:t>Wykonawca</w:t>
      </w:r>
      <w:proofErr w:type="gramEnd"/>
      <w:r w:rsidR="00E31B91" w:rsidRPr="00D74920">
        <w:rPr>
          <w:rFonts w:eastAsiaTheme="minorHAnsi" w:cstheme="minorHAnsi"/>
          <w:sz w:val="19"/>
          <w:szCs w:val="19"/>
        </w:rPr>
        <w:t xml:space="preserve"> wnosi o wskazanie, czy Zamawiający wyraża zgodę na zmianę § 2 ust. 2 projektowanych postanowień umowy (rozdział II SWZ, dalej jako: „</w:t>
      </w:r>
      <w:r w:rsidR="00E31B91" w:rsidRPr="00D74920">
        <w:rPr>
          <w:rFonts w:eastAsiaTheme="minorHAnsi" w:cstheme="minorHAnsi"/>
          <w:bCs/>
          <w:sz w:val="19"/>
          <w:szCs w:val="19"/>
        </w:rPr>
        <w:t>Umowa</w:t>
      </w:r>
      <w:r w:rsidR="00E31B91" w:rsidRPr="00D74920">
        <w:rPr>
          <w:rFonts w:eastAsiaTheme="minorHAnsi" w:cstheme="minorHAnsi"/>
          <w:sz w:val="19"/>
          <w:szCs w:val="19"/>
        </w:rPr>
        <w:t>”) poprzez zmianę oznaczonego tam terminu z 5 dni roboczych</w:t>
      </w:r>
      <w:r>
        <w:rPr>
          <w:rFonts w:eastAsiaTheme="minorHAnsi" w:cstheme="minorHAnsi"/>
          <w:sz w:val="19"/>
          <w:szCs w:val="19"/>
        </w:rPr>
        <w:t xml:space="preserve"> n</w:t>
      </w:r>
      <w:r w:rsidR="00E31B91" w:rsidRPr="00D74920">
        <w:rPr>
          <w:rFonts w:eastAsiaTheme="minorHAnsi" w:cstheme="minorHAnsi"/>
          <w:sz w:val="19"/>
          <w:szCs w:val="19"/>
        </w:rPr>
        <w:t>a 10 dni roboczych. Wykonawca nadmienia, iż uwagi za szeroką gamę asortymentu objętego niniejszym postępowaniem, niezbędne jest zapewnienie dłuższego terminu na skompletowanie i dostarczenie przedmiotowej dokumentacji.</w:t>
      </w:r>
    </w:p>
    <w:p w:rsidR="00C4324F" w:rsidRDefault="00E31B91" w:rsidP="00D74920">
      <w:pPr>
        <w:pStyle w:val="Default"/>
        <w:tabs>
          <w:tab w:val="left" w:pos="284"/>
          <w:tab w:val="left" w:pos="851"/>
        </w:tabs>
        <w:spacing w:line="360" w:lineRule="auto"/>
        <w:jc w:val="both"/>
        <w:rPr>
          <w:rFonts w:asciiTheme="minorHAnsi" w:hAnsiTheme="minorHAnsi" w:cstheme="minorHAnsi"/>
          <w:color w:val="auto"/>
          <w:sz w:val="19"/>
          <w:szCs w:val="19"/>
        </w:rPr>
      </w:pPr>
      <w:r w:rsidRPr="00D74920">
        <w:rPr>
          <w:rFonts w:asciiTheme="minorHAnsi" w:hAnsiTheme="minorHAnsi" w:cstheme="minorHAnsi"/>
          <w:b/>
          <w:color w:val="auto"/>
          <w:sz w:val="19"/>
          <w:szCs w:val="19"/>
        </w:rPr>
        <w:t>Odpowiedź:</w:t>
      </w:r>
      <w:r w:rsidR="00C4324F">
        <w:rPr>
          <w:rFonts w:asciiTheme="minorHAnsi" w:hAnsiTheme="minorHAnsi" w:cstheme="minorHAnsi"/>
          <w:b/>
          <w:color w:val="auto"/>
          <w:sz w:val="19"/>
          <w:szCs w:val="19"/>
        </w:rPr>
        <w:t xml:space="preserve"> </w:t>
      </w:r>
      <w:r w:rsidR="00C4324F">
        <w:rPr>
          <w:rFonts w:asciiTheme="minorHAnsi" w:hAnsiTheme="minorHAnsi" w:cstheme="minorHAnsi"/>
          <w:color w:val="auto"/>
          <w:sz w:val="19"/>
          <w:szCs w:val="19"/>
        </w:rPr>
        <w:t xml:space="preserve">zamawiający wyraża zgodę i dokona stosownej modyfikacji SWZ. </w:t>
      </w:r>
    </w:p>
    <w:p w:rsidR="00E31B91" w:rsidRPr="00D74920" w:rsidRDefault="00E31B91" w:rsidP="001C2917">
      <w:pPr>
        <w:pStyle w:val="Default"/>
        <w:tabs>
          <w:tab w:val="left" w:pos="284"/>
          <w:tab w:val="left" w:pos="851"/>
        </w:tabs>
        <w:spacing w:line="360" w:lineRule="auto"/>
        <w:jc w:val="both"/>
        <w:rPr>
          <w:rFonts w:asciiTheme="minorHAnsi" w:hAnsiTheme="minorHAnsi" w:cstheme="minorHAnsi"/>
          <w:b/>
          <w:color w:val="auto"/>
          <w:sz w:val="19"/>
          <w:szCs w:val="19"/>
        </w:rPr>
      </w:pPr>
      <w:r w:rsidRPr="00D74920">
        <w:rPr>
          <w:rFonts w:asciiTheme="minorHAnsi" w:hAnsiTheme="minorHAnsi" w:cstheme="minorHAnsi"/>
          <w:b/>
          <w:color w:val="auto"/>
          <w:sz w:val="19"/>
          <w:szCs w:val="19"/>
        </w:rPr>
        <w:lastRenderedPageBreak/>
        <w:t xml:space="preserve"> WYKONAWCA VI</w:t>
      </w:r>
      <w:r w:rsidR="00D74920" w:rsidRPr="00D74920">
        <w:rPr>
          <w:rFonts w:asciiTheme="minorHAnsi" w:hAnsiTheme="minorHAnsi" w:cstheme="minorHAnsi"/>
          <w:b/>
          <w:color w:val="auto"/>
          <w:sz w:val="19"/>
          <w:szCs w:val="19"/>
        </w:rPr>
        <w:t xml:space="preserve"> (38-50)</w:t>
      </w:r>
    </w:p>
    <w:p w:rsidR="00C02B57" w:rsidRPr="001C2917" w:rsidRDefault="007E46D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Pr>
          <w:rFonts w:cstheme="minorHAnsi"/>
          <w:sz w:val="19"/>
          <w:szCs w:val="19"/>
        </w:rPr>
        <w:t xml:space="preserve">(49) </w:t>
      </w:r>
      <w:r w:rsidR="00C02B57" w:rsidRPr="00D74920">
        <w:rPr>
          <w:rFonts w:cstheme="minorHAnsi"/>
          <w:sz w:val="19"/>
          <w:szCs w:val="19"/>
        </w:rPr>
        <w:t xml:space="preserve">Czy Zamawiający przewiduje wprowadzenie do wzoru umowy </w:t>
      </w:r>
      <w:r w:rsidR="00C02B57" w:rsidRPr="001C2917">
        <w:rPr>
          <w:rFonts w:cstheme="minorHAnsi"/>
          <w:sz w:val="19"/>
          <w:szCs w:val="19"/>
        </w:rPr>
        <w:t xml:space="preserve">postanowień waloryzacyjnych, tj. postanowień dotyczących zasad zmian wysokości wynagrodzenia, zgodnie z treścią art. 440 ustawy Prawo zamówień publicznych. Aktualna sytuacja rynkowa, charakteryzująca się znaczącym wzrostem inflacji w Polsce powoduje, iż oferta cenowa składana w trakcie postępowania przetargowego może stać się niewystarczająca dla prawidłowej realizacji umowy przetargowej. Oferent, który wygrał przetarg, w celu realizacji umowy przetargowej może </w:t>
      </w:r>
      <w:proofErr w:type="gramStart"/>
      <w:r w:rsidR="00C02B57" w:rsidRPr="001C2917">
        <w:rPr>
          <w:rFonts w:cstheme="minorHAnsi"/>
          <w:sz w:val="19"/>
          <w:szCs w:val="19"/>
        </w:rPr>
        <w:t>być bowiem</w:t>
      </w:r>
      <w:proofErr w:type="gramEnd"/>
      <w:r w:rsidR="00C02B57" w:rsidRPr="001C2917">
        <w:rPr>
          <w:rFonts w:cstheme="minorHAnsi"/>
          <w:sz w:val="19"/>
          <w:szCs w:val="19"/>
        </w:rPr>
        <w:t xml:space="preserve"> zmuszony do zakupu produktów lub usług po cenach dużo wyższych niż te, które były aktualne w momencie konstruowania oferty przetargowej. W efekcie, wykonawca przetargu może finansowo nie podołać tej sytuacji, co doprowadzi do niezrealizowania przez niego dostaw wynikających z umowy przetargowej, z niekorzyścią dla Zamawiającego.</w:t>
      </w:r>
    </w:p>
    <w:p w:rsidR="00C02B57" w:rsidRPr="001C2917" w:rsidRDefault="00C02B57" w:rsidP="00D74920">
      <w:pPr>
        <w:pStyle w:val="Akapitzlist"/>
        <w:tabs>
          <w:tab w:val="left" w:pos="284"/>
        </w:tabs>
        <w:spacing w:after="0" w:line="360" w:lineRule="auto"/>
        <w:ind w:left="0"/>
        <w:jc w:val="both"/>
        <w:rPr>
          <w:rFonts w:cstheme="minorHAnsi"/>
          <w:sz w:val="19"/>
          <w:szCs w:val="19"/>
        </w:rPr>
      </w:pPr>
      <w:r w:rsidRPr="001C2917">
        <w:rPr>
          <w:rFonts w:cstheme="minorHAnsi"/>
          <w:sz w:val="19"/>
          <w:szCs w:val="19"/>
        </w:rPr>
        <w:t>W świetle powyższego dodanie postanowień waloryzacyjnych, skonstruowanych w zgodzie z art. 439 ust. 2-4 ustawy Prawo zamówień publicznych, będzie służyło nie tylko obronie wykonawcy przetargu przed zmianami cen, na które nie ma on wpływu, ale przede wszystkim zabezpieczy interes Zamawiającego, zapewniając prawidłową i niezakłóconą realizację dostaw produktów objętych umową przetargową.</w:t>
      </w:r>
    </w:p>
    <w:p w:rsidR="00C02B57" w:rsidRPr="001C2917" w:rsidRDefault="00C02B57" w:rsidP="00D74920">
      <w:pPr>
        <w:pStyle w:val="Default"/>
        <w:tabs>
          <w:tab w:val="left" w:pos="284"/>
          <w:tab w:val="left" w:pos="851"/>
        </w:tabs>
        <w:spacing w:line="360" w:lineRule="auto"/>
        <w:jc w:val="both"/>
        <w:rPr>
          <w:rFonts w:asciiTheme="minorHAnsi" w:hAnsiTheme="minorHAnsi" w:cstheme="minorHAnsi"/>
          <w:color w:val="auto"/>
          <w:sz w:val="19"/>
          <w:szCs w:val="19"/>
        </w:rPr>
      </w:pPr>
      <w:r w:rsidRPr="001C2917">
        <w:rPr>
          <w:rFonts w:asciiTheme="minorHAnsi" w:hAnsiTheme="minorHAnsi" w:cstheme="minorHAnsi"/>
          <w:b/>
          <w:color w:val="auto"/>
          <w:sz w:val="19"/>
          <w:szCs w:val="19"/>
        </w:rPr>
        <w:t xml:space="preserve">Odpowiedź: </w:t>
      </w:r>
      <w:r w:rsidR="001C2917">
        <w:rPr>
          <w:rFonts w:asciiTheme="minorHAnsi" w:hAnsiTheme="minorHAnsi" w:cstheme="minorHAnsi"/>
          <w:color w:val="auto"/>
          <w:sz w:val="19"/>
          <w:szCs w:val="19"/>
        </w:rPr>
        <w:t>zamawiający wyraża zgodę i dokona modyfikacji SWZ, wprowadzając do „Projektowanych postanowień umowy” stosowne zapisy waloryzacyjne.</w:t>
      </w:r>
    </w:p>
    <w:p w:rsidR="00C02B57" w:rsidRPr="00D74920" w:rsidRDefault="00C02B57" w:rsidP="00D74920">
      <w:pPr>
        <w:pStyle w:val="Akapitzlist"/>
        <w:tabs>
          <w:tab w:val="left" w:pos="284"/>
        </w:tabs>
        <w:spacing w:after="0" w:line="360" w:lineRule="auto"/>
        <w:ind w:left="0"/>
        <w:jc w:val="both"/>
        <w:rPr>
          <w:rFonts w:cstheme="minorHAnsi"/>
          <w:sz w:val="19"/>
          <w:szCs w:val="19"/>
        </w:rPr>
      </w:pPr>
    </w:p>
    <w:p w:rsidR="00C02B57" w:rsidRPr="00D74920" w:rsidRDefault="007E46D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Pr>
          <w:rFonts w:cstheme="minorHAnsi"/>
          <w:sz w:val="19"/>
          <w:szCs w:val="19"/>
        </w:rPr>
        <w:t xml:space="preserve">(50) </w:t>
      </w:r>
      <w:r w:rsidR="00C02B57" w:rsidRPr="00D74920">
        <w:rPr>
          <w:rFonts w:cstheme="minorHAnsi"/>
          <w:sz w:val="19"/>
          <w:szCs w:val="19"/>
        </w:rPr>
        <w:t>Dotyczy rozdział XIX ust. 1 pkt. b) SWZ: Czy Zamawiający wyrazi zgodę na dodanie do grona uprawnionych do złożenia stosownych dokumentów i oświadczeń podmiotów, obok producenta oraz autoryzowanego przedstawiciela producenta dodatkowo autoryzowanego dystrybutora producenta?</w:t>
      </w:r>
    </w:p>
    <w:p w:rsidR="00C02B57" w:rsidRPr="00C1266E" w:rsidRDefault="00C02B57" w:rsidP="00D74920">
      <w:pPr>
        <w:pStyle w:val="Default"/>
        <w:tabs>
          <w:tab w:val="left" w:pos="284"/>
          <w:tab w:val="left" w:pos="851"/>
        </w:tabs>
        <w:spacing w:line="360" w:lineRule="auto"/>
        <w:jc w:val="both"/>
        <w:rPr>
          <w:rFonts w:asciiTheme="minorHAnsi" w:hAnsiTheme="minorHAnsi" w:cstheme="minorHAnsi"/>
          <w:b/>
          <w:color w:val="FF0000"/>
          <w:sz w:val="19"/>
          <w:szCs w:val="19"/>
        </w:rPr>
      </w:pPr>
      <w:r w:rsidRPr="00D74920">
        <w:rPr>
          <w:rFonts w:asciiTheme="minorHAnsi" w:hAnsiTheme="minorHAnsi" w:cstheme="minorHAnsi"/>
          <w:b/>
          <w:color w:val="auto"/>
          <w:sz w:val="19"/>
          <w:szCs w:val="19"/>
        </w:rPr>
        <w:t xml:space="preserve">Odpowiedź: </w:t>
      </w:r>
      <w:r w:rsidR="00D70E35">
        <w:rPr>
          <w:rFonts w:asciiTheme="minorHAnsi" w:hAnsiTheme="minorHAnsi" w:cstheme="minorHAnsi"/>
          <w:color w:val="auto"/>
          <w:sz w:val="19"/>
          <w:szCs w:val="19"/>
        </w:rPr>
        <w:t xml:space="preserve">zamawiający dopuszcza, by przedmiotowe środki dowodowe, o których mowa w punkcie XIX </w:t>
      </w:r>
      <w:proofErr w:type="spellStart"/>
      <w:r w:rsidR="00D70E35">
        <w:rPr>
          <w:rFonts w:asciiTheme="minorHAnsi" w:hAnsiTheme="minorHAnsi" w:cstheme="minorHAnsi"/>
          <w:color w:val="auto"/>
          <w:sz w:val="19"/>
          <w:szCs w:val="19"/>
        </w:rPr>
        <w:t>ppkt</w:t>
      </w:r>
      <w:proofErr w:type="spellEnd"/>
      <w:r w:rsidR="00D70E35">
        <w:rPr>
          <w:rFonts w:asciiTheme="minorHAnsi" w:hAnsiTheme="minorHAnsi" w:cstheme="minorHAnsi"/>
          <w:color w:val="auto"/>
          <w:sz w:val="19"/>
          <w:szCs w:val="19"/>
        </w:rPr>
        <w:t xml:space="preserve"> 1b) SWZ zostały wystawione również przez dystrybutora – z zastrzeżeniem, że muszą one zawierać wszystkie wymagane </w:t>
      </w:r>
      <w:proofErr w:type="gramStart"/>
      <w:r w:rsidR="00D70E35">
        <w:rPr>
          <w:rFonts w:asciiTheme="minorHAnsi" w:hAnsiTheme="minorHAnsi" w:cstheme="minorHAnsi"/>
          <w:color w:val="auto"/>
          <w:sz w:val="19"/>
          <w:szCs w:val="19"/>
        </w:rPr>
        <w:t xml:space="preserve">informacje </w:t>
      </w:r>
      <w:r w:rsidR="007E46D7">
        <w:rPr>
          <w:rFonts w:asciiTheme="minorHAnsi" w:hAnsiTheme="minorHAnsi" w:cstheme="minorHAnsi"/>
          <w:color w:val="auto"/>
          <w:sz w:val="19"/>
          <w:szCs w:val="19"/>
        </w:rPr>
        <w:t xml:space="preserve">                            </w:t>
      </w:r>
      <w:r w:rsidR="00D70E35">
        <w:rPr>
          <w:rFonts w:asciiTheme="minorHAnsi" w:hAnsiTheme="minorHAnsi" w:cstheme="minorHAnsi"/>
          <w:color w:val="auto"/>
          <w:sz w:val="19"/>
          <w:szCs w:val="19"/>
        </w:rPr>
        <w:t>oraz</w:t>
      </w:r>
      <w:proofErr w:type="gramEnd"/>
      <w:r w:rsidR="00D70E35">
        <w:rPr>
          <w:rFonts w:asciiTheme="minorHAnsi" w:hAnsiTheme="minorHAnsi" w:cstheme="minorHAnsi"/>
          <w:color w:val="auto"/>
          <w:sz w:val="19"/>
          <w:szCs w:val="19"/>
        </w:rPr>
        <w:t xml:space="preserve"> spełniać wszystkie </w:t>
      </w:r>
      <w:r w:rsidR="008552BD">
        <w:rPr>
          <w:rFonts w:asciiTheme="minorHAnsi" w:hAnsiTheme="minorHAnsi" w:cstheme="minorHAnsi"/>
          <w:color w:val="auto"/>
          <w:sz w:val="19"/>
          <w:szCs w:val="19"/>
        </w:rPr>
        <w:t xml:space="preserve">inne </w:t>
      </w:r>
      <w:r w:rsidR="00D602DB">
        <w:rPr>
          <w:rFonts w:asciiTheme="minorHAnsi" w:hAnsiTheme="minorHAnsi" w:cstheme="minorHAnsi"/>
          <w:color w:val="auto"/>
          <w:sz w:val="19"/>
          <w:szCs w:val="19"/>
        </w:rPr>
        <w:t xml:space="preserve">wymogi </w:t>
      </w:r>
      <w:r w:rsidR="00D70E35">
        <w:rPr>
          <w:rFonts w:asciiTheme="minorHAnsi" w:hAnsiTheme="minorHAnsi" w:cstheme="minorHAnsi"/>
          <w:color w:val="auto"/>
          <w:sz w:val="19"/>
          <w:szCs w:val="19"/>
        </w:rPr>
        <w:t>określone w SWZ</w:t>
      </w:r>
      <w:r w:rsidR="00D602DB">
        <w:rPr>
          <w:rFonts w:asciiTheme="minorHAnsi" w:hAnsiTheme="minorHAnsi" w:cstheme="minorHAnsi"/>
          <w:color w:val="auto"/>
          <w:sz w:val="19"/>
          <w:szCs w:val="19"/>
        </w:rPr>
        <w:t>.</w:t>
      </w:r>
    </w:p>
    <w:p w:rsidR="00C02B57" w:rsidRPr="00D74920" w:rsidRDefault="00C02B57" w:rsidP="00D74920">
      <w:pPr>
        <w:tabs>
          <w:tab w:val="left" w:pos="284"/>
        </w:tabs>
        <w:spacing w:after="0" w:line="360" w:lineRule="auto"/>
        <w:jc w:val="both"/>
        <w:rPr>
          <w:rFonts w:cstheme="minorHAnsi"/>
          <w:sz w:val="19"/>
          <w:szCs w:val="19"/>
        </w:rPr>
      </w:pPr>
    </w:p>
    <w:p w:rsidR="00C02B57" w:rsidRPr="00D74920" w:rsidRDefault="00C02B57" w:rsidP="00D74920">
      <w:pPr>
        <w:pStyle w:val="Nagwek1"/>
        <w:spacing w:before="0" w:line="360" w:lineRule="auto"/>
        <w:rPr>
          <w:rFonts w:asciiTheme="minorHAnsi" w:hAnsiTheme="minorHAnsi" w:cstheme="minorHAnsi"/>
          <w:b/>
          <w:color w:val="auto"/>
          <w:sz w:val="19"/>
          <w:szCs w:val="19"/>
          <w:lang w:val="en-US"/>
        </w:rPr>
      </w:pPr>
      <w:r w:rsidRPr="00D74920">
        <w:rPr>
          <w:rFonts w:asciiTheme="minorHAnsi" w:hAnsiTheme="minorHAnsi" w:cstheme="minorHAnsi"/>
          <w:b/>
          <w:color w:val="auto"/>
          <w:sz w:val="19"/>
          <w:szCs w:val="19"/>
          <w:lang w:val="en-US"/>
        </w:rPr>
        <w:t>WYKONAWCA VIII</w:t>
      </w:r>
      <w:r w:rsidR="00D74920" w:rsidRPr="00D74920">
        <w:rPr>
          <w:rFonts w:asciiTheme="minorHAnsi" w:hAnsiTheme="minorHAnsi" w:cstheme="minorHAnsi"/>
          <w:b/>
          <w:color w:val="auto"/>
          <w:sz w:val="19"/>
          <w:szCs w:val="19"/>
          <w:lang w:val="en-US"/>
        </w:rPr>
        <w:t xml:space="preserve"> </w:t>
      </w:r>
      <w:r w:rsidR="00C1266E">
        <w:rPr>
          <w:rFonts w:asciiTheme="minorHAnsi" w:hAnsiTheme="minorHAnsi" w:cstheme="minorHAnsi"/>
          <w:b/>
          <w:color w:val="auto"/>
          <w:sz w:val="19"/>
          <w:szCs w:val="19"/>
          <w:lang w:val="en-US"/>
        </w:rPr>
        <w:t>(</w:t>
      </w:r>
      <w:r w:rsidR="00D74920" w:rsidRPr="00D74920">
        <w:rPr>
          <w:rFonts w:asciiTheme="minorHAnsi" w:hAnsiTheme="minorHAnsi" w:cstheme="minorHAnsi"/>
          <w:b/>
          <w:color w:val="auto"/>
          <w:sz w:val="19"/>
          <w:szCs w:val="19"/>
          <w:lang w:val="en-US"/>
        </w:rPr>
        <w:t>57-59)</w:t>
      </w:r>
    </w:p>
    <w:p w:rsidR="00C02B57" w:rsidRPr="00D74920" w:rsidRDefault="007E46D7" w:rsidP="00D74920">
      <w:pPr>
        <w:pStyle w:val="Akapitzlist"/>
        <w:numPr>
          <w:ilvl w:val="0"/>
          <w:numId w:val="16"/>
        </w:numPr>
        <w:tabs>
          <w:tab w:val="left" w:pos="284"/>
        </w:tabs>
        <w:spacing w:after="0" w:line="360" w:lineRule="auto"/>
        <w:ind w:left="0" w:firstLine="0"/>
        <w:contextualSpacing w:val="0"/>
        <w:jc w:val="both"/>
        <w:rPr>
          <w:rFonts w:cstheme="minorHAnsi"/>
          <w:sz w:val="19"/>
          <w:szCs w:val="19"/>
        </w:rPr>
      </w:pPr>
      <w:r>
        <w:rPr>
          <w:rFonts w:cstheme="minorHAnsi"/>
          <w:sz w:val="19"/>
          <w:szCs w:val="19"/>
        </w:rPr>
        <w:t xml:space="preserve">(57) </w:t>
      </w:r>
      <w:r w:rsidR="00C02B57" w:rsidRPr="00D74920">
        <w:rPr>
          <w:rFonts w:cstheme="minorHAnsi"/>
          <w:sz w:val="19"/>
          <w:szCs w:val="19"/>
        </w:rPr>
        <w:t>Pytanie 1 do zadania 16 pozycja 1 i 2</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xml:space="preserve">Zasady równości i proporcjonalności nakładana na  Zamawiającego obowiązek równego traktowania wszystkich wykonawców, które powinno występować na każdym etapie postępowania bez stosowania </w:t>
      </w:r>
      <w:proofErr w:type="gramStart"/>
      <w:r w:rsidRPr="00D74920">
        <w:rPr>
          <w:rFonts w:cstheme="minorHAnsi"/>
          <w:sz w:val="19"/>
          <w:szCs w:val="19"/>
          <w:lang w:eastAsia="pl-PL"/>
        </w:rPr>
        <w:t>przywilejów ale</w:t>
      </w:r>
      <w:proofErr w:type="gramEnd"/>
      <w:r w:rsidRPr="00D74920">
        <w:rPr>
          <w:rFonts w:cstheme="minorHAnsi"/>
          <w:sz w:val="19"/>
          <w:szCs w:val="19"/>
          <w:lang w:eastAsia="pl-PL"/>
        </w:rPr>
        <w:t xml:space="preserve"> także środków dyskryminujących wykonawców ze względu na ich właściwości. Równe traktowanie odnosi się zarówno do aspektu </w:t>
      </w:r>
      <w:proofErr w:type="gramStart"/>
      <w:r w:rsidRPr="00D74920">
        <w:rPr>
          <w:rFonts w:cstheme="minorHAnsi"/>
          <w:sz w:val="19"/>
          <w:szCs w:val="19"/>
          <w:lang w:eastAsia="pl-PL"/>
        </w:rPr>
        <w:t xml:space="preserve">merytorycznego </w:t>
      </w:r>
      <w:r w:rsidR="00C1266E">
        <w:rPr>
          <w:rFonts w:cstheme="minorHAnsi"/>
          <w:sz w:val="19"/>
          <w:szCs w:val="19"/>
          <w:lang w:eastAsia="pl-PL"/>
        </w:rPr>
        <w:t xml:space="preserve">                                  </w:t>
      </w:r>
      <w:r w:rsidRPr="00D74920">
        <w:rPr>
          <w:rFonts w:cstheme="minorHAnsi"/>
          <w:sz w:val="19"/>
          <w:szCs w:val="19"/>
          <w:lang w:eastAsia="pl-PL"/>
        </w:rPr>
        <w:t>jaki</w:t>
      </w:r>
      <w:proofErr w:type="gramEnd"/>
      <w:r w:rsidRPr="00D74920">
        <w:rPr>
          <w:rFonts w:cstheme="minorHAnsi"/>
          <w:sz w:val="19"/>
          <w:szCs w:val="19"/>
          <w:lang w:eastAsia="pl-PL"/>
        </w:rPr>
        <w:t xml:space="preserve"> formalnego zamówienia. Używając zapisu ,,Środek o jednoczesnym działaniu hemostatycznym i </w:t>
      </w:r>
      <w:proofErr w:type="spellStart"/>
      <w:proofErr w:type="gramStart"/>
      <w:r w:rsidRPr="00D74920">
        <w:rPr>
          <w:rFonts w:cstheme="minorHAnsi"/>
          <w:sz w:val="19"/>
          <w:szCs w:val="19"/>
          <w:lang w:eastAsia="pl-PL"/>
        </w:rPr>
        <w:t>przeciwzrostowym</w:t>
      </w:r>
      <w:proofErr w:type="spellEnd"/>
      <w:r w:rsidRPr="00D74920">
        <w:rPr>
          <w:rFonts w:cstheme="minorHAnsi"/>
          <w:sz w:val="19"/>
          <w:szCs w:val="19"/>
          <w:lang w:eastAsia="pl-PL"/>
        </w:rPr>
        <w:t xml:space="preserve"> </w:t>
      </w:r>
      <w:r w:rsidR="00C1266E">
        <w:rPr>
          <w:rFonts w:cstheme="minorHAnsi"/>
          <w:sz w:val="19"/>
          <w:szCs w:val="19"/>
          <w:lang w:eastAsia="pl-PL"/>
        </w:rPr>
        <w:t xml:space="preserve">                     </w:t>
      </w:r>
      <w:r w:rsidRPr="00D74920">
        <w:rPr>
          <w:rFonts w:cstheme="minorHAnsi"/>
          <w:sz w:val="19"/>
          <w:szCs w:val="19"/>
          <w:lang w:eastAsia="pl-PL"/>
        </w:rPr>
        <w:t>-oba</w:t>
      </w:r>
      <w:proofErr w:type="gramEnd"/>
      <w:r w:rsidRPr="00D74920">
        <w:rPr>
          <w:rFonts w:cstheme="minorHAnsi"/>
          <w:sz w:val="19"/>
          <w:szCs w:val="19"/>
          <w:lang w:eastAsia="pl-PL"/>
        </w:rPr>
        <w:t xml:space="preserve"> działania potwierdzone certyfikatem CE''</w:t>
      </w:r>
      <w:r w:rsidR="00C1266E">
        <w:rPr>
          <w:rFonts w:cstheme="minorHAnsi"/>
          <w:sz w:val="19"/>
          <w:szCs w:val="19"/>
          <w:lang w:eastAsia="pl-PL"/>
        </w:rPr>
        <w:t xml:space="preserve"> </w:t>
      </w:r>
      <w:r w:rsidRPr="00D74920">
        <w:rPr>
          <w:rFonts w:cstheme="minorHAnsi"/>
          <w:sz w:val="19"/>
          <w:szCs w:val="19"/>
          <w:lang w:eastAsia="pl-PL"/>
        </w:rPr>
        <w:t xml:space="preserve">(patent - parametr wykluczający, wprowadzany jako minimalne wymaganie  i  nie poddany ocenie punktowej) może naruszać te zasady przez celową eliminacje wykonawców  i doprowadzenie do sytuacji w której tylko jeden z nich weźmie udział w postępowaniu, Z kolei zasada uczciwej konkurencji nakłada </w:t>
      </w:r>
      <w:r w:rsidR="00C1266E">
        <w:rPr>
          <w:rFonts w:cstheme="minorHAnsi"/>
          <w:sz w:val="19"/>
          <w:szCs w:val="19"/>
          <w:lang w:eastAsia="pl-PL"/>
        </w:rPr>
        <w:t xml:space="preserve">                                  </w:t>
      </w:r>
      <w:r w:rsidRPr="00D74920">
        <w:rPr>
          <w:rFonts w:cstheme="minorHAnsi"/>
          <w:sz w:val="19"/>
          <w:szCs w:val="19"/>
          <w:lang w:eastAsia="pl-PL"/>
        </w:rPr>
        <w:t xml:space="preserve">na Zamawiającego obowiązek przygotowania i prowadzenia postępowania w sposób zapewniający zachowanie uczciwej konkurencji. Naruszenie uczciwej konkurencji to nie tylko eliminowanie z ubiegania się o niektórych wykonawców przez wskazanie nazbyt konkretnego </w:t>
      </w:r>
      <w:proofErr w:type="gramStart"/>
      <w:r w:rsidRPr="00D74920">
        <w:rPr>
          <w:rFonts w:cstheme="minorHAnsi"/>
          <w:sz w:val="19"/>
          <w:szCs w:val="19"/>
          <w:lang w:eastAsia="pl-PL"/>
        </w:rPr>
        <w:t>wymogu jakim</w:t>
      </w:r>
      <w:proofErr w:type="gramEnd"/>
      <w:r w:rsidRPr="00D74920">
        <w:rPr>
          <w:rFonts w:cstheme="minorHAnsi"/>
          <w:sz w:val="19"/>
          <w:szCs w:val="19"/>
          <w:lang w:eastAsia="pl-PL"/>
        </w:rPr>
        <w:t xml:space="preserve"> jej ww. zapis.</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w:t>
      </w:r>
      <w:r w:rsidRPr="00D74920">
        <w:rPr>
          <w:rFonts w:cstheme="minorHAnsi"/>
          <w:sz w:val="19"/>
          <w:szCs w:val="19"/>
          <w:lang w:eastAsia="pl-PL"/>
        </w:rPr>
        <w:tab/>
        <w:t xml:space="preserve">Zamawiający w opisie przedmiotu zamówienia ( </w:t>
      </w:r>
      <w:proofErr w:type="gramStart"/>
      <w:r w:rsidRPr="00D74920">
        <w:rPr>
          <w:rFonts w:cstheme="minorHAnsi"/>
          <w:sz w:val="19"/>
          <w:szCs w:val="19"/>
          <w:lang w:eastAsia="pl-PL"/>
        </w:rPr>
        <w:t xml:space="preserve">zadanie 16 ) </w:t>
      </w:r>
      <w:proofErr w:type="gramEnd"/>
      <w:r w:rsidRPr="00D74920">
        <w:rPr>
          <w:rFonts w:cstheme="minorHAnsi"/>
          <w:sz w:val="19"/>
          <w:szCs w:val="19"/>
          <w:lang w:eastAsia="pl-PL"/>
        </w:rPr>
        <w:t xml:space="preserve">zawarł  ZBYT dokładny opis przedmiotu zamówienia, który zawarty jest w załączniku nr 2 do niniejszej SWZ. </w:t>
      </w:r>
    </w:p>
    <w:p w:rsidR="00C02B57" w:rsidRPr="00D74920" w:rsidRDefault="00C02B57" w:rsidP="00D74920">
      <w:pPr>
        <w:shd w:val="clear" w:color="auto" w:fill="FFFFFF"/>
        <w:tabs>
          <w:tab w:val="left" w:pos="284"/>
        </w:tabs>
        <w:spacing w:after="0" w:line="360" w:lineRule="auto"/>
        <w:jc w:val="both"/>
        <w:rPr>
          <w:rFonts w:cstheme="minorHAnsi"/>
          <w:sz w:val="19"/>
          <w:szCs w:val="19"/>
          <w:lang w:eastAsia="pl-PL"/>
        </w:rPr>
      </w:pPr>
      <w:r w:rsidRPr="00D74920">
        <w:rPr>
          <w:rFonts w:cstheme="minorHAnsi"/>
          <w:sz w:val="19"/>
          <w:szCs w:val="19"/>
          <w:lang w:eastAsia="pl-PL"/>
        </w:rPr>
        <w:t> </w:t>
      </w:r>
      <w:r w:rsidRPr="00D74920">
        <w:rPr>
          <w:rFonts w:cstheme="minorHAnsi"/>
          <w:sz w:val="19"/>
          <w:szCs w:val="19"/>
          <w:lang w:eastAsia="pl-PL"/>
        </w:rPr>
        <w:tab/>
      </w:r>
      <w:r w:rsidRPr="00D74920">
        <w:rPr>
          <w:rFonts w:cstheme="minorHAnsi"/>
          <w:bCs/>
          <w:sz w:val="19"/>
          <w:szCs w:val="19"/>
          <w:lang w:eastAsia="pl-PL"/>
        </w:rPr>
        <w:t>Pragniemy zwrócić uwagę</w:t>
      </w:r>
      <w:proofErr w:type="gramStart"/>
      <w:r w:rsidRPr="00D74920">
        <w:rPr>
          <w:rFonts w:cstheme="minorHAnsi"/>
          <w:bCs/>
          <w:sz w:val="19"/>
          <w:szCs w:val="19"/>
          <w:lang w:eastAsia="pl-PL"/>
        </w:rPr>
        <w:t>, że</w:t>
      </w:r>
      <w:proofErr w:type="gramEnd"/>
      <w:r w:rsidRPr="00D74920">
        <w:rPr>
          <w:rFonts w:cstheme="minorHAnsi"/>
          <w:bCs/>
          <w:sz w:val="19"/>
          <w:szCs w:val="19"/>
          <w:lang w:eastAsia="pl-PL"/>
        </w:rPr>
        <w:t xml:space="preserve"> </w:t>
      </w:r>
      <w:r w:rsidRPr="00D74920">
        <w:rPr>
          <w:rFonts w:cstheme="minorHAnsi"/>
          <w:sz w:val="19"/>
          <w:szCs w:val="19"/>
          <w:lang w:eastAsia="pl-PL"/>
        </w:rPr>
        <w:t> </w:t>
      </w:r>
      <w:r w:rsidRPr="00D74920">
        <w:rPr>
          <w:rFonts w:cstheme="minorHAnsi"/>
          <w:bCs/>
          <w:sz w:val="19"/>
          <w:szCs w:val="19"/>
          <w:lang w:eastAsia="pl-PL"/>
        </w:rPr>
        <w:t xml:space="preserve">Zamawiający  użył opisów zbyt dokładnych, </w:t>
      </w:r>
      <w:r w:rsidRPr="00D74920">
        <w:rPr>
          <w:rFonts w:cstheme="minorHAnsi"/>
          <w:sz w:val="19"/>
          <w:szCs w:val="19"/>
          <w:lang w:eastAsia="pl-PL"/>
        </w:rPr>
        <w:t>gdyż proponowany opis produktu uniemożliwia złożenie oferty konkurencyjnej, Zamawiający użył opisu przedmiotu zamówienia charakterystycznego</w:t>
      </w:r>
      <w:r w:rsidR="00C1266E">
        <w:rPr>
          <w:rFonts w:cstheme="minorHAnsi"/>
          <w:sz w:val="19"/>
          <w:szCs w:val="19"/>
          <w:lang w:eastAsia="pl-PL"/>
        </w:rPr>
        <w:t xml:space="preserve"> </w:t>
      </w:r>
      <w:r w:rsidRPr="00D74920">
        <w:rPr>
          <w:rFonts w:cstheme="minorHAnsi"/>
          <w:sz w:val="19"/>
          <w:szCs w:val="19"/>
          <w:lang w:eastAsia="pl-PL"/>
        </w:rPr>
        <w:t xml:space="preserve">dla jednego dostawcy- firmy BL </w:t>
      </w:r>
      <w:proofErr w:type="spellStart"/>
      <w:r w:rsidRPr="00D74920">
        <w:rPr>
          <w:rFonts w:cstheme="minorHAnsi"/>
          <w:sz w:val="19"/>
          <w:szCs w:val="19"/>
          <w:lang w:eastAsia="pl-PL"/>
        </w:rPr>
        <w:t>Medica</w:t>
      </w:r>
      <w:proofErr w:type="spellEnd"/>
      <w:r w:rsidRPr="00D74920">
        <w:rPr>
          <w:rFonts w:cstheme="minorHAnsi"/>
          <w:sz w:val="19"/>
          <w:szCs w:val="19"/>
          <w:lang w:eastAsia="pl-PL"/>
        </w:rPr>
        <w:t>, ograniczającego konkurencję. W materiałach reklamowych produktu 4dryField PH można uzyskać informacje, że jest to: „Jedyny na świecie produkt posiadający certyfikat CE do hemostazy &amp; zapobiegania zrostom” (PATETNT</w:t>
      </w:r>
      <w:proofErr w:type="gramStart"/>
      <w:r w:rsidRPr="00D74920">
        <w:rPr>
          <w:rFonts w:cstheme="minorHAnsi"/>
          <w:sz w:val="19"/>
          <w:szCs w:val="19"/>
          <w:lang w:eastAsia="pl-PL"/>
        </w:rPr>
        <w:t>, </w:t>
      </w:r>
      <w:hyperlink r:id="rId11" w:history="1">
        <w:proofErr w:type="gramEnd"/>
        <w:r w:rsidRPr="00D74920">
          <w:rPr>
            <w:rFonts w:cstheme="minorHAnsi"/>
            <w:sz w:val="19"/>
            <w:szCs w:val="19"/>
            <w:lang w:eastAsia="pl-PL"/>
          </w:rPr>
          <w:t>https://blmedica.pl/images/Katalogi/ulotka%20A4%202017.pdf</w:t>
        </w:r>
      </w:hyperlink>
      <w:r w:rsidRPr="00D74920">
        <w:rPr>
          <w:rFonts w:cstheme="minorHAnsi"/>
          <w:sz w:val="19"/>
          <w:szCs w:val="19"/>
          <w:lang w:eastAsia="pl-PL"/>
        </w:rPr>
        <w:t xml:space="preserve">). </w:t>
      </w:r>
    </w:p>
    <w:p w:rsidR="00C02B57" w:rsidRPr="00D74920" w:rsidRDefault="00C02B57" w:rsidP="00D74920">
      <w:pPr>
        <w:shd w:val="clear" w:color="auto" w:fill="FFFFFF"/>
        <w:tabs>
          <w:tab w:val="left" w:pos="284"/>
        </w:tabs>
        <w:spacing w:after="0" w:line="360" w:lineRule="auto"/>
        <w:jc w:val="both"/>
        <w:rPr>
          <w:rFonts w:cstheme="minorHAnsi"/>
          <w:sz w:val="19"/>
          <w:szCs w:val="19"/>
          <w:lang w:eastAsia="pl-PL"/>
        </w:rPr>
      </w:pPr>
      <w:r w:rsidRPr="00D74920">
        <w:rPr>
          <w:rFonts w:cstheme="minorHAnsi"/>
          <w:sz w:val="19"/>
          <w:szCs w:val="19"/>
          <w:lang w:eastAsia="pl-PL"/>
        </w:rPr>
        <w:lastRenderedPageBreak/>
        <w:t>Dlatego  korzystając ze środków ochrony prawnej przewidzianych w ustawie w związku z powyższym  proponujemy  ofertę równoważną na  produkt:</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xml:space="preserve">Czy zamawiający dopuści produkt  równoważny  tj. produkt, który jest bezpośrednimi odpowiednikami produktów przedstawionych w specyfikacji, o tej samej nazwie międzynarodowej, postaci farmaceutycznej i dawce? </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xml:space="preserve"> Proszek </w:t>
      </w:r>
      <w:proofErr w:type="gramStart"/>
      <w:r w:rsidRPr="00D74920">
        <w:rPr>
          <w:rFonts w:cstheme="minorHAnsi"/>
          <w:sz w:val="19"/>
          <w:szCs w:val="19"/>
          <w:lang w:eastAsia="pl-PL"/>
        </w:rPr>
        <w:t xml:space="preserve">hemostatyczny , </w:t>
      </w:r>
      <w:proofErr w:type="gramEnd"/>
      <w:r w:rsidRPr="00D74920">
        <w:rPr>
          <w:rFonts w:cstheme="minorHAnsi"/>
          <w:sz w:val="19"/>
          <w:szCs w:val="19"/>
          <w:lang w:eastAsia="pl-PL"/>
        </w:rPr>
        <w:t>z  dokumentami dopuszczającymi do obrotu zgodnie z ustawą o wyrobach medycznych  - CE, Deklaracja i </w:t>
      </w:r>
      <w:proofErr w:type="spellStart"/>
      <w:r w:rsidRPr="00D74920">
        <w:rPr>
          <w:rFonts w:cstheme="minorHAnsi"/>
          <w:sz w:val="19"/>
          <w:szCs w:val="19"/>
          <w:lang w:eastAsia="pl-PL"/>
        </w:rPr>
        <w:t>wyrób</w:t>
      </w:r>
      <w:proofErr w:type="spellEnd"/>
      <w:r w:rsidRPr="00D74920">
        <w:rPr>
          <w:rFonts w:cstheme="minorHAnsi"/>
          <w:sz w:val="19"/>
          <w:szCs w:val="19"/>
          <w:lang w:eastAsia="pl-PL"/>
        </w:rPr>
        <w:t xml:space="preserve"> medyczny zgłoszony w Urzędzie rejestracji wyrobów medycznych i przeznaczony do stosowania w obrębie ran operacyjnych jako </w:t>
      </w:r>
      <w:proofErr w:type="spellStart"/>
      <w:r w:rsidRPr="00D74920">
        <w:rPr>
          <w:rFonts w:cstheme="minorHAnsi"/>
          <w:sz w:val="19"/>
          <w:szCs w:val="19"/>
          <w:lang w:eastAsia="pl-PL"/>
        </w:rPr>
        <w:t>wchłanialny</w:t>
      </w:r>
      <w:proofErr w:type="spellEnd"/>
      <w:r w:rsidRPr="00D74920">
        <w:rPr>
          <w:rFonts w:cstheme="minorHAnsi"/>
          <w:sz w:val="19"/>
          <w:szCs w:val="19"/>
          <w:lang w:eastAsia="pl-PL"/>
        </w:rPr>
        <w:t> </w:t>
      </w:r>
      <w:proofErr w:type="spellStart"/>
      <w:r w:rsidRPr="00D74920">
        <w:rPr>
          <w:rFonts w:cstheme="minorHAnsi"/>
          <w:sz w:val="19"/>
          <w:szCs w:val="19"/>
          <w:lang w:eastAsia="pl-PL"/>
        </w:rPr>
        <w:t>środek</w:t>
      </w:r>
      <w:proofErr w:type="spellEnd"/>
      <w:r w:rsidRPr="00D74920">
        <w:rPr>
          <w:rFonts w:cstheme="minorHAnsi"/>
          <w:sz w:val="19"/>
          <w:szCs w:val="19"/>
          <w:lang w:eastAsia="pl-PL"/>
        </w:rPr>
        <w:t xml:space="preserve"> </w:t>
      </w:r>
      <w:proofErr w:type="spellStart"/>
      <w:r w:rsidRPr="00D74920">
        <w:rPr>
          <w:rFonts w:cstheme="minorHAnsi"/>
          <w:sz w:val="19"/>
          <w:szCs w:val="19"/>
          <w:lang w:eastAsia="pl-PL"/>
        </w:rPr>
        <w:t>hamujący</w:t>
      </w:r>
      <w:proofErr w:type="spellEnd"/>
      <w:r w:rsidRPr="00D74920">
        <w:rPr>
          <w:rFonts w:cstheme="minorHAnsi"/>
          <w:sz w:val="19"/>
          <w:szCs w:val="19"/>
          <w:lang w:eastAsia="pl-PL"/>
        </w:rPr>
        <w:t xml:space="preserve"> krwawienie. 100% polisacharyd pochodzenia </w:t>
      </w:r>
      <w:proofErr w:type="spellStart"/>
      <w:proofErr w:type="gramStart"/>
      <w:r w:rsidRPr="00D74920">
        <w:rPr>
          <w:rFonts w:cstheme="minorHAnsi"/>
          <w:sz w:val="19"/>
          <w:szCs w:val="19"/>
          <w:lang w:eastAsia="pl-PL"/>
        </w:rPr>
        <w:t>roślinnego</w:t>
      </w:r>
      <w:proofErr w:type="spellEnd"/>
      <w:r w:rsidRPr="00D74920">
        <w:rPr>
          <w:rFonts w:cstheme="minorHAnsi"/>
          <w:sz w:val="19"/>
          <w:szCs w:val="19"/>
          <w:lang w:eastAsia="pl-PL"/>
        </w:rPr>
        <w:t xml:space="preserve">. </w:t>
      </w:r>
      <w:r w:rsidR="00C1266E">
        <w:rPr>
          <w:rFonts w:cstheme="minorHAnsi"/>
          <w:sz w:val="19"/>
          <w:szCs w:val="19"/>
          <w:lang w:eastAsia="pl-PL"/>
        </w:rPr>
        <w:t xml:space="preserve">                                             </w:t>
      </w:r>
      <w:r w:rsidRPr="00D74920">
        <w:rPr>
          <w:rFonts w:cstheme="minorHAnsi"/>
          <w:sz w:val="19"/>
          <w:szCs w:val="19"/>
          <w:lang w:eastAsia="pl-PL"/>
        </w:rPr>
        <w:t>Jest</w:t>
      </w:r>
      <w:proofErr w:type="gramEnd"/>
      <w:r w:rsidRPr="00D74920">
        <w:rPr>
          <w:rFonts w:cstheme="minorHAnsi"/>
          <w:sz w:val="19"/>
          <w:szCs w:val="19"/>
          <w:lang w:eastAsia="pl-PL"/>
        </w:rPr>
        <w:t xml:space="preserve"> to hydrofilny, płynny, mikroporowaty proszek, syntetyzowany przez oczyszczoną skrobię sieciowaną w ramach </w:t>
      </w:r>
      <w:proofErr w:type="spellStart"/>
      <w:r w:rsidRPr="00D74920">
        <w:rPr>
          <w:rFonts w:cstheme="minorHAnsi"/>
          <w:sz w:val="19"/>
          <w:szCs w:val="19"/>
          <w:lang w:eastAsia="pl-PL"/>
        </w:rPr>
        <w:t>zastrzeżonego</w:t>
      </w:r>
      <w:proofErr w:type="spellEnd"/>
      <w:r w:rsidRPr="00D74920">
        <w:rPr>
          <w:rFonts w:cstheme="minorHAnsi"/>
          <w:sz w:val="19"/>
          <w:szCs w:val="19"/>
          <w:lang w:eastAsia="pl-PL"/>
        </w:rPr>
        <w:t xml:space="preserve"> procesu chemicznego. </w:t>
      </w:r>
      <w:proofErr w:type="spellStart"/>
      <w:r w:rsidRPr="00D74920">
        <w:rPr>
          <w:rFonts w:cstheme="minorHAnsi"/>
          <w:sz w:val="19"/>
          <w:szCs w:val="19"/>
          <w:lang w:eastAsia="pl-PL"/>
        </w:rPr>
        <w:t>Środek</w:t>
      </w:r>
      <w:proofErr w:type="spellEnd"/>
      <w:r w:rsidRPr="00D74920">
        <w:rPr>
          <w:rFonts w:cstheme="minorHAnsi"/>
          <w:sz w:val="19"/>
          <w:szCs w:val="19"/>
          <w:lang w:eastAsia="pl-PL"/>
        </w:rPr>
        <w:t xml:space="preserve"> nie zawiera </w:t>
      </w:r>
      <w:proofErr w:type="spellStart"/>
      <w:r w:rsidRPr="00D74920">
        <w:rPr>
          <w:rFonts w:cstheme="minorHAnsi"/>
          <w:sz w:val="19"/>
          <w:szCs w:val="19"/>
          <w:lang w:eastAsia="pl-PL"/>
        </w:rPr>
        <w:t>żadnych</w:t>
      </w:r>
      <w:proofErr w:type="spellEnd"/>
      <w:r w:rsidRPr="00D74920">
        <w:rPr>
          <w:rFonts w:cstheme="minorHAnsi"/>
          <w:sz w:val="19"/>
          <w:szCs w:val="19"/>
          <w:lang w:eastAsia="pl-PL"/>
        </w:rPr>
        <w:t xml:space="preserve"> </w:t>
      </w:r>
      <w:proofErr w:type="spellStart"/>
      <w:r w:rsidRPr="00D74920">
        <w:rPr>
          <w:rFonts w:cstheme="minorHAnsi"/>
          <w:sz w:val="19"/>
          <w:szCs w:val="19"/>
          <w:lang w:eastAsia="pl-PL"/>
        </w:rPr>
        <w:t>składników</w:t>
      </w:r>
      <w:proofErr w:type="spellEnd"/>
      <w:r w:rsidRPr="00D74920">
        <w:rPr>
          <w:rFonts w:cstheme="minorHAnsi"/>
          <w:sz w:val="19"/>
          <w:szCs w:val="19"/>
          <w:lang w:eastAsia="pl-PL"/>
        </w:rPr>
        <w:t xml:space="preserve"> pochodzenia </w:t>
      </w:r>
      <w:proofErr w:type="spellStart"/>
      <w:r w:rsidRPr="00D74920">
        <w:rPr>
          <w:rFonts w:cstheme="minorHAnsi"/>
          <w:sz w:val="19"/>
          <w:szCs w:val="19"/>
          <w:lang w:eastAsia="pl-PL"/>
        </w:rPr>
        <w:t>zwierzęcego</w:t>
      </w:r>
      <w:proofErr w:type="spellEnd"/>
      <w:r w:rsidRPr="00D74920">
        <w:rPr>
          <w:rFonts w:cstheme="minorHAnsi"/>
          <w:sz w:val="19"/>
          <w:szCs w:val="19"/>
          <w:lang w:eastAsia="pl-PL"/>
        </w:rPr>
        <w:t xml:space="preserve"> ani ludzkiego.                     To drobnoziarnisty, suchy, sterylizowany </w:t>
      </w:r>
      <w:proofErr w:type="spellStart"/>
      <w:r w:rsidRPr="00D74920">
        <w:rPr>
          <w:rFonts w:cstheme="minorHAnsi"/>
          <w:sz w:val="19"/>
          <w:szCs w:val="19"/>
          <w:lang w:eastAsia="pl-PL"/>
        </w:rPr>
        <w:t>biokompatybilny</w:t>
      </w:r>
      <w:proofErr w:type="spellEnd"/>
      <w:r w:rsidRPr="00D74920">
        <w:rPr>
          <w:rFonts w:cstheme="minorHAnsi"/>
          <w:sz w:val="19"/>
          <w:szCs w:val="19"/>
          <w:lang w:eastAsia="pl-PL"/>
        </w:rPr>
        <w:t xml:space="preserve"> i </w:t>
      </w:r>
      <w:proofErr w:type="spellStart"/>
      <w:r w:rsidRPr="00D74920">
        <w:rPr>
          <w:rFonts w:cstheme="minorHAnsi"/>
          <w:sz w:val="19"/>
          <w:szCs w:val="19"/>
          <w:lang w:eastAsia="pl-PL"/>
        </w:rPr>
        <w:t>apirogenny</w:t>
      </w:r>
      <w:proofErr w:type="spellEnd"/>
      <w:r w:rsidRPr="00D74920">
        <w:rPr>
          <w:rFonts w:cstheme="minorHAnsi"/>
          <w:sz w:val="19"/>
          <w:szCs w:val="19"/>
          <w:lang w:eastAsia="pl-PL"/>
        </w:rPr>
        <w:t xml:space="preserve"> biały proszek. Typowy okres wchłaniania </w:t>
      </w:r>
      <w:proofErr w:type="gramStart"/>
      <w:r w:rsidRPr="00D74920">
        <w:rPr>
          <w:rFonts w:cstheme="minorHAnsi"/>
          <w:sz w:val="19"/>
          <w:szCs w:val="19"/>
          <w:lang w:eastAsia="pl-PL"/>
        </w:rPr>
        <w:t>wynosi                 od</w:t>
      </w:r>
      <w:proofErr w:type="gramEnd"/>
      <w:r w:rsidRPr="00D74920">
        <w:rPr>
          <w:rFonts w:cstheme="minorHAnsi"/>
          <w:sz w:val="19"/>
          <w:szCs w:val="19"/>
          <w:lang w:eastAsia="pl-PL"/>
        </w:rPr>
        <w:t xml:space="preserve"> 24 do 48 godzin. O działaniu </w:t>
      </w:r>
      <w:proofErr w:type="spellStart"/>
      <w:r w:rsidRPr="00D74920">
        <w:rPr>
          <w:rFonts w:cstheme="minorHAnsi"/>
          <w:sz w:val="19"/>
          <w:szCs w:val="19"/>
          <w:lang w:eastAsia="pl-PL"/>
        </w:rPr>
        <w:t>przeciwzrostowym</w:t>
      </w:r>
      <w:proofErr w:type="spellEnd"/>
      <w:r w:rsidRPr="00D74920">
        <w:rPr>
          <w:rFonts w:cstheme="minorHAnsi"/>
          <w:sz w:val="19"/>
          <w:szCs w:val="19"/>
          <w:lang w:eastAsia="pl-PL"/>
        </w:rPr>
        <w:t xml:space="preserve">. </w:t>
      </w:r>
    </w:p>
    <w:tbl>
      <w:tblPr>
        <w:tblW w:w="0" w:type="auto"/>
        <w:tblCellSpacing w:w="0" w:type="dxa"/>
        <w:tblCellMar>
          <w:left w:w="0" w:type="dxa"/>
          <w:right w:w="0" w:type="dxa"/>
        </w:tblCellMar>
        <w:tblLook w:val="04A0" w:firstRow="1" w:lastRow="0" w:firstColumn="1" w:lastColumn="0" w:noHBand="0" w:noVBand="1"/>
      </w:tblPr>
      <w:tblGrid>
        <w:gridCol w:w="1928"/>
      </w:tblGrid>
      <w:tr w:rsidR="00D74920" w:rsidRPr="00D74920" w:rsidTr="0040260D">
        <w:trPr>
          <w:tblCellSpacing w:w="0" w:type="dxa"/>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Czas hemostazy 1-4min.</w:t>
            </w:r>
          </w:p>
        </w:tc>
      </w:tr>
    </w:tbl>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bCs/>
          <w:sz w:val="19"/>
          <w:szCs w:val="19"/>
          <w:lang w:eastAsia="pl-PL"/>
        </w:rPr>
        <w:t>DZIAŁANIE </w:t>
      </w:r>
      <w:r w:rsidRPr="00D74920">
        <w:rPr>
          <w:rFonts w:cstheme="minorHAnsi"/>
          <w:sz w:val="19"/>
          <w:szCs w:val="19"/>
          <w:lang w:eastAsia="pl-PL"/>
        </w:rPr>
        <w:t xml:space="preserve"> </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xml:space="preserve">Proponowany proszek to hydrofilny posiew </w:t>
      </w:r>
      <w:proofErr w:type="spellStart"/>
      <w:r w:rsidRPr="00D74920">
        <w:rPr>
          <w:rFonts w:cstheme="minorHAnsi"/>
          <w:sz w:val="19"/>
          <w:szCs w:val="19"/>
          <w:lang w:eastAsia="pl-PL"/>
        </w:rPr>
        <w:t>cząsteczkowy</w:t>
      </w:r>
      <w:proofErr w:type="spellEnd"/>
      <w:r w:rsidRPr="00D74920">
        <w:rPr>
          <w:rFonts w:cstheme="minorHAnsi"/>
          <w:sz w:val="19"/>
          <w:szCs w:val="19"/>
          <w:lang w:eastAsia="pl-PL"/>
        </w:rPr>
        <w:t xml:space="preserve">, </w:t>
      </w:r>
      <w:proofErr w:type="spellStart"/>
      <w:r w:rsidRPr="00D74920">
        <w:rPr>
          <w:rFonts w:cstheme="minorHAnsi"/>
          <w:sz w:val="19"/>
          <w:szCs w:val="19"/>
          <w:lang w:eastAsia="pl-PL"/>
        </w:rPr>
        <w:t>wzmacniający</w:t>
      </w:r>
      <w:proofErr w:type="spellEnd"/>
      <w:r w:rsidRPr="00D74920">
        <w:rPr>
          <w:rFonts w:cstheme="minorHAnsi"/>
          <w:sz w:val="19"/>
          <w:szCs w:val="19"/>
          <w:lang w:eastAsia="pl-PL"/>
        </w:rPr>
        <w:t xml:space="preserve"> naturalną </w:t>
      </w:r>
      <w:proofErr w:type="spellStart"/>
      <w:r w:rsidRPr="00D74920">
        <w:rPr>
          <w:rFonts w:cstheme="minorHAnsi"/>
          <w:sz w:val="19"/>
          <w:szCs w:val="19"/>
          <w:lang w:eastAsia="pl-PL"/>
        </w:rPr>
        <w:t>hemostaze</w:t>
      </w:r>
      <w:proofErr w:type="spellEnd"/>
      <w:r w:rsidRPr="00D74920">
        <w:rPr>
          <w:rFonts w:cstheme="minorHAnsi"/>
          <w:sz w:val="19"/>
          <w:szCs w:val="19"/>
          <w:lang w:eastAsia="pl-PL"/>
        </w:rPr>
        <w:t xml:space="preserve">̨ poprzez koncentrowanie stałych </w:t>
      </w:r>
      <w:proofErr w:type="spellStart"/>
      <w:r w:rsidRPr="00D74920">
        <w:rPr>
          <w:rFonts w:cstheme="minorHAnsi"/>
          <w:sz w:val="19"/>
          <w:szCs w:val="19"/>
          <w:lang w:eastAsia="pl-PL"/>
        </w:rPr>
        <w:t>składników</w:t>
      </w:r>
      <w:proofErr w:type="spellEnd"/>
      <w:r w:rsidRPr="00D74920">
        <w:rPr>
          <w:rFonts w:cstheme="minorHAnsi"/>
          <w:sz w:val="19"/>
          <w:szCs w:val="19"/>
          <w:lang w:eastAsia="pl-PL"/>
        </w:rPr>
        <w:t xml:space="preserve"> krwi, takich jak płytki, krwinki czerwone oraz białka, na powierzchni </w:t>
      </w:r>
      <w:proofErr w:type="spellStart"/>
      <w:r w:rsidRPr="00D74920">
        <w:rPr>
          <w:rFonts w:cstheme="minorHAnsi"/>
          <w:sz w:val="19"/>
          <w:szCs w:val="19"/>
          <w:lang w:eastAsia="pl-PL"/>
        </w:rPr>
        <w:t>cząstek</w:t>
      </w:r>
      <w:proofErr w:type="spellEnd"/>
      <w:r w:rsidRPr="00D74920">
        <w:rPr>
          <w:rFonts w:cstheme="minorHAnsi"/>
          <w:sz w:val="19"/>
          <w:szCs w:val="19"/>
          <w:lang w:eastAsia="pl-PL"/>
        </w:rPr>
        <w:t xml:space="preserve"> i tworzenie macierzy </w:t>
      </w:r>
      <w:proofErr w:type="spellStart"/>
      <w:r w:rsidRPr="00D74920">
        <w:rPr>
          <w:rFonts w:cstheme="minorHAnsi"/>
          <w:sz w:val="19"/>
          <w:szCs w:val="19"/>
          <w:lang w:eastAsia="pl-PL"/>
        </w:rPr>
        <w:t>żelowej</w:t>
      </w:r>
      <w:proofErr w:type="spellEnd"/>
      <w:r w:rsidRPr="00D74920">
        <w:rPr>
          <w:rFonts w:cstheme="minorHAnsi"/>
          <w:sz w:val="19"/>
          <w:szCs w:val="19"/>
          <w:lang w:eastAsia="pl-PL"/>
        </w:rPr>
        <w:t>. Skoncentrowana macierz </w:t>
      </w:r>
      <w:proofErr w:type="spellStart"/>
      <w:r w:rsidRPr="00D74920">
        <w:rPr>
          <w:rFonts w:cstheme="minorHAnsi"/>
          <w:sz w:val="19"/>
          <w:szCs w:val="19"/>
          <w:lang w:eastAsia="pl-PL"/>
        </w:rPr>
        <w:t>żelowa</w:t>
      </w:r>
      <w:proofErr w:type="spellEnd"/>
      <w:r w:rsidRPr="00D74920">
        <w:rPr>
          <w:rFonts w:cstheme="minorHAnsi"/>
          <w:sz w:val="19"/>
          <w:szCs w:val="19"/>
          <w:lang w:eastAsia="pl-PL"/>
        </w:rPr>
        <w:t xml:space="preserve"> stanowi </w:t>
      </w:r>
      <w:proofErr w:type="spellStart"/>
      <w:r w:rsidRPr="00D74920">
        <w:rPr>
          <w:rFonts w:cstheme="minorHAnsi"/>
          <w:sz w:val="19"/>
          <w:szCs w:val="19"/>
          <w:lang w:eastAsia="pl-PL"/>
        </w:rPr>
        <w:t>bariere</w:t>
      </w:r>
      <w:proofErr w:type="spellEnd"/>
      <w:r w:rsidRPr="00D74920">
        <w:rPr>
          <w:rFonts w:cstheme="minorHAnsi"/>
          <w:sz w:val="19"/>
          <w:szCs w:val="19"/>
          <w:lang w:eastAsia="pl-PL"/>
        </w:rPr>
        <w:t>̨ </w:t>
      </w:r>
      <w:proofErr w:type="spellStart"/>
      <w:r w:rsidRPr="00D74920">
        <w:rPr>
          <w:rFonts w:cstheme="minorHAnsi"/>
          <w:sz w:val="19"/>
          <w:szCs w:val="19"/>
          <w:lang w:eastAsia="pl-PL"/>
        </w:rPr>
        <w:t>uniemożliwiająca</w:t>
      </w:r>
      <w:proofErr w:type="spellEnd"/>
      <w:r w:rsidRPr="00D74920">
        <w:rPr>
          <w:rFonts w:cstheme="minorHAnsi"/>
          <w:sz w:val="19"/>
          <w:szCs w:val="19"/>
          <w:lang w:eastAsia="pl-PL"/>
        </w:rPr>
        <w:t>̨ dalszą </w:t>
      </w:r>
      <w:proofErr w:type="spellStart"/>
      <w:r w:rsidRPr="00D74920">
        <w:rPr>
          <w:rFonts w:cstheme="minorHAnsi"/>
          <w:sz w:val="19"/>
          <w:szCs w:val="19"/>
          <w:lang w:eastAsia="pl-PL"/>
        </w:rPr>
        <w:t>utrate</w:t>
      </w:r>
      <w:proofErr w:type="spellEnd"/>
      <w:r w:rsidRPr="00D74920">
        <w:rPr>
          <w:rFonts w:cstheme="minorHAnsi"/>
          <w:sz w:val="19"/>
          <w:szCs w:val="19"/>
          <w:lang w:eastAsia="pl-PL"/>
        </w:rPr>
        <w:t xml:space="preserve">̨ krwi i powstaje </w:t>
      </w:r>
      <w:proofErr w:type="spellStart"/>
      <w:r w:rsidRPr="00D74920">
        <w:rPr>
          <w:rFonts w:cstheme="minorHAnsi"/>
          <w:sz w:val="19"/>
          <w:szCs w:val="19"/>
          <w:lang w:eastAsia="pl-PL"/>
        </w:rPr>
        <w:t>niezależnie</w:t>
      </w:r>
      <w:proofErr w:type="spellEnd"/>
      <w:r w:rsidRPr="00D74920">
        <w:rPr>
          <w:rFonts w:cstheme="minorHAnsi"/>
          <w:sz w:val="19"/>
          <w:szCs w:val="19"/>
          <w:lang w:eastAsia="pl-PL"/>
        </w:rPr>
        <w:t xml:space="preserve"> od stanu koagulacji pacjenta. Wysokie </w:t>
      </w:r>
      <w:proofErr w:type="spellStart"/>
      <w:r w:rsidRPr="00D74920">
        <w:rPr>
          <w:rFonts w:cstheme="minorHAnsi"/>
          <w:sz w:val="19"/>
          <w:szCs w:val="19"/>
          <w:lang w:eastAsia="pl-PL"/>
        </w:rPr>
        <w:t>stężenie</w:t>
      </w:r>
      <w:proofErr w:type="spellEnd"/>
      <w:r w:rsidRPr="00D74920">
        <w:rPr>
          <w:rFonts w:cstheme="minorHAnsi"/>
          <w:sz w:val="19"/>
          <w:szCs w:val="19"/>
          <w:lang w:eastAsia="pl-PL"/>
        </w:rPr>
        <w:t xml:space="preserve"> </w:t>
      </w:r>
      <w:proofErr w:type="spellStart"/>
      <w:r w:rsidRPr="00D74920">
        <w:rPr>
          <w:rFonts w:cstheme="minorHAnsi"/>
          <w:sz w:val="19"/>
          <w:szCs w:val="19"/>
          <w:lang w:eastAsia="pl-PL"/>
        </w:rPr>
        <w:t>czynników</w:t>
      </w:r>
      <w:proofErr w:type="spellEnd"/>
      <w:r w:rsidRPr="00D74920">
        <w:rPr>
          <w:rFonts w:cstheme="minorHAnsi"/>
          <w:sz w:val="19"/>
          <w:szCs w:val="19"/>
          <w:lang w:eastAsia="pl-PL"/>
        </w:rPr>
        <w:t xml:space="preserve"> </w:t>
      </w:r>
      <w:proofErr w:type="spellStart"/>
      <w:r w:rsidRPr="00D74920">
        <w:rPr>
          <w:rFonts w:cstheme="minorHAnsi"/>
          <w:sz w:val="19"/>
          <w:szCs w:val="19"/>
          <w:lang w:eastAsia="pl-PL"/>
        </w:rPr>
        <w:t>krzepnięcia</w:t>
      </w:r>
      <w:proofErr w:type="spellEnd"/>
      <w:r w:rsidRPr="00D74920">
        <w:rPr>
          <w:rFonts w:cstheme="minorHAnsi"/>
          <w:sz w:val="19"/>
          <w:szCs w:val="19"/>
          <w:lang w:eastAsia="pl-PL"/>
        </w:rPr>
        <w:t xml:space="preserve"> i płytek krwi w </w:t>
      </w:r>
      <w:proofErr w:type="spellStart"/>
      <w:r w:rsidRPr="00D74920">
        <w:rPr>
          <w:rFonts w:cstheme="minorHAnsi"/>
          <w:sz w:val="19"/>
          <w:szCs w:val="19"/>
          <w:lang w:eastAsia="pl-PL"/>
        </w:rPr>
        <w:t>żelu</w:t>
      </w:r>
      <w:proofErr w:type="spellEnd"/>
      <w:r w:rsidRPr="00D74920">
        <w:rPr>
          <w:rFonts w:cstheme="minorHAnsi"/>
          <w:sz w:val="19"/>
          <w:szCs w:val="19"/>
          <w:lang w:eastAsia="pl-PL"/>
        </w:rPr>
        <w:t xml:space="preserve"> wzmaga naturalne reakcje </w:t>
      </w:r>
      <w:proofErr w:type="spellStart"/>
      <w:proofErr w:type="gramStart"/>
      <w:r w:rsidRPr="00D74920">
        <w:rPr>
          <w:rFonts w:cstheme="minorHAnsi"/>
          <w:sz w:val="19"/>
          <w:szCs w:val="19"/>
          <w:lang w:eastAsia="pl-PL"/>
        </w:rPr>
        <w:t>krzepnięcia</w:t>
      </w:r>
      <w:proofErr w:type="spellEnd"/>
      <w:r w:rsidRPr="00D74920">
        <w:rPr>
          <w:rFonts w:cstheme="minorHAnsi"/>
          <w:sz w:val="19"/>
          <w:szCs w:val="19"/>
          <w:lang w:eastAsia="pl-PL"/>
        </w:rPr>
        <w:t xml:space="preserve">                   i</w:t>
      </w:r>
      <w:proofErr w:type="gramEnd"/>
      <w:r w:rsidRPr="00D74920">
        <w:rPr>
          <w:rFonts w:cstheme="minorHAnsi"/>
          <w:sz w:val="19"/>
          <w:szCs w:val="19"/>
          <w:lang w:eastAsia="pl-PL"/>
        </w:rPr>
        <w:t xml:space="preserve"> pomaga </w:t>
      </w:r>
      <w:proofErr w:type="spellStart"/>
      <w:r w:rsidRPr="00D74920">
        <w:rPr>
          <w:rFonts w:cstheme="minorHAnsi"/>
          <w:sz w:val="19"/>
          <w:szCs w:val="19"/>
          <w:lang w:eastAsia="pl-PL"/>
        </w:rPr>
        <w:t>wytworzyc</w:t>
      </w:r>
      <w:proofErr w:type="spellEnd"/>
      <w:r w:rsidRPr="00D74920">
        <w:rPr>
          <w:rFonts w:cstheme="minorHAnsi"/>
          <w:sz w:val="19"/>
          <w:szCs w:val="19"/>
          <w:lang w:eastAsia="pl-PL"/>
        </w:rPr>
        <w:t xml:space="preserve">́ stabilny czop hemostatyczny. Proces wchłaniania rozpoczyna </w:t>
      </w:r>
      <w:proofErr w:type="spellStart"/>
      <w:r w:rsidRPr="00D74920">
        <w:rPr>
          <w:rFonts w:cstheme="minorHAnsi"/>
          <w:sz w:val="19"/>
          <w:szCs w:val="19"/>
          <w:lang w:eastAsia="pl-PL"/>
        </w:rPr>
        <w:t>sie</w:t>
      </w:r>
      <w:proofErr w:type="spellEnd"/>
      <w:r w:rsidRPr="00D74920">
        <w:rPr>
          <w:rFonts w:cstheme="minorHAnsi"/>
          <w:sz w:val="19"/>
          <w:szCs w:val="19"/>
          <w:lang w:eastAsia="pl-PL"/>
        </w:rPr>
        <w:t xml:space="preserve">̨ natychmiast, a na jego przebieg wpływa kilka </w:t>
      </w:r>
      <w:proofErr w:type="spellStart"/>
      <w:r w:rsidRPr="00D74920">
        <w:rPr>
          <w:rFonts w:cstheme="minorHAnsi"/>
          <w:sz w:val="19"/>
          <w:szCs w:val="19"/>
          <w:lang w:eastAsia="pl-PL"/>
        </w:rPr>
        <w:t>czynników</w:t>
      </w:r>
      <w:proofErr w:type="spellEnd"/>
      <w:r w:rsidRPr="00D74920">
        <w:rPr>
          <w:rFonts w:cstheme="minorHAnsi"/>
          <w:sz w:val="19"/>
          <w:szCs w:val="19"/>
          <w:lang w:eastAsia="pl-PL"/>
        </w:rPr>
        <w:t xml:space="preserve">, w tym </w:t>
      </w:r>
      <w:proofErr w:type="spellStart"/>
      <w:r w:rsidRPr="00D74920">
        <w:rPr>
          <w:rFonts w:cstheme="minorHAnsi"/>
          <w:sz w:val="19"/>
          <w:szCs w:val="19"/>
          <w:lang w:eastAsia="pl-PL"/>
        </w:rPr>
        <w:t>ilośc</w:t>
      </w:r>
      <w:proofErr w:type="spellEnd"/>
      <w:r w:rsidRPr="00D74920">
        <w:rPr>
          <w:rFonts w:cstheme="minorHAnsi"/>
          <w:sz w:val="19"/>
          <w:szCs w:val="19"/>
          <w:lang w:eastAsia="pl-PL"/>
        </w:rPr>
        <w:t>́ naniesionego </w:t>
      </w:r>
      <w:proofErr w:type="spellStart"/>
      <w:r w:rsidRPr="00D74920">
        <w:rPr>
          <w:rFonts w:cstheme="minorHAnsi"/>
          <w:sz w:val="19"/>
          <w:szCs w:val="19"/>
          <w:lang w:eastAsia="pl-PL"/>
        </w:rPr>
        <w:t>środka</w:t>
      </w:r>
      <w:proofErr w:type="spellEnd"/>
      <w:r w:rsidRPr="00D74920">
        <w:rPr>
          <w:rFonts w:cstheme="minorHAnsi"/>
          <w:sz w:val="19"/>
          <w:szCs w:val="19"/>
          <w:lang w:eastAsia="pl-PL"/>
        </w:rPr>
        <w:t xml:space="preserve"> oraz obszar zastosowania.</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bCs/>
          <w:sz w:val="19"/>
          <w:szCs w:val="19"/>
          <w:lang w:eastAsia="pl-PL"/>
        </w:rPr>
        <w:t xml:space="preserve">WSKAZANIA </w:t>
      </w:r>
    </w:p>
    <w:p w:rsidR="00C02B57" w:rsidRPr="00D74920" w:rsidRDefault="00C02B57" w:rsidP="00D74920">
      <w:pPr>
        <w:tabs>
          <w:tab w:val="left" w:pos="284"/>
        </w:tabs>
        <w:spacing w:after="0" w:line="360" w:lineRule="auto"/>
        <w:jc w:val="both"/>
        <w:rPr>
          <w:rFonts w:cstheme="minorHAnsi"/>
          <w:sz w:val="19"/>
          <w:szCs w:val="19"/>
          <w:lang w:eastAsia="pl-PL"/>
        </w:rPr>
      </w:pPr>
      <w:proofErr w:type="spellStart"/>
      <w:r w:rsidRPr="00D74920">
        <w:rPr>
          <w:rFonts w:cstheme="minorHAnsi"/>
          <w:sz w:val="19"/>
          <w:szCs w:val="19"/>
          <w:lang w:eastAsia="pl-PL"/>
        </w:rPr>
        <w:t>Środek</w:t>
      </w:r>
      <w:proofErr w:type="spellEnd"/>
      <w:r w:rsidRPr="00D74920">
        <w:rPr>
          <w:rFonts w:cstheme="minorHAnsi"/>
          <w:sz w:val="19"/>
          <w:szCs w:val="19"/>
          <w:lang w:eastAsia="pl-PL"/>
        </w:rPr>
        <w:t xml:space="preserve"> jest przeznaczony do stosowania w ramach </w:t>
      </w:r>
      <w:proofErr w:type="spellStart"/>
      <w:r w:rsidRPr="00D74920">
        <w:rPr>
          <w:rFonts w:cstheme="minorHAnsi"/>
          <w:sz w:val="19"/>
          <w:szCs w:val="19"/>
          <w:lang w:eastAsia="pl-PL"/>
        </w:rPr>
        <w:t>zabiegów</w:t>
      </w:r>
      <w:proofErr w:type="spellEnd"/>
      <w:r w:rsidRPr="00D74920">
        <w:rPr>
          <w:rFonts w:cstheme="minorHAnsi"/>
          <w:sz w:val="19"/>
          <w:szCs w:val="19"/>
          <w:lang w:eastAsia="pl-PL"/>
        </w:rPr>
        <w:t xml:space="preserve"> chirurgicznych (poza okulistycznymi) jako pomocnicze kleszcze hemostatyczne, </w:t>
      </w:r>
      <w:proofErr w:type="spellStart"/>
      <w:r w:rsidRPr="00D74920">
        <w:rPr>
          <w:rFonts w:cstheme="minorHAnsi"/>
          <w:sz w:val="19"/>
          <w:szCs w:val="19"/>
          <w:lang w:eastAsia="pl-PL"/>
        </w:rPr>
        <w:t>jeżeli</w:t>
      </w:r>
      <w:proofErr w:type="spellEnd"/>
      <w:r w:rsidRPr="00D74920">
        <w:rPr>
          <w:rFonts w:cstheme="minorHAnsi"/>
          <w:sz w:val="19"/>
          <w:szCs w:val="19"/>
          <w:lang w:eastAsia="pl-PL"/>
        </w:rPr>
        <w:t xml:space="preserve"> kontrola krwawienia kapilarnego</w:t>
      </w:r>
      <w:proofErr w:type="gramStart"/>
      <w:r w:rsidRPr="00D74920">
        <w:rPr>
          <w:rFonts w:cstheme="minorHAnsi"/>
          <w:sz w:val="19"/>
          <w:szCs w:val="19"/>
          <w:lang w:eastAsia="pl-PL"/>
        </w:rPr>
        <w:t>, </w:t>
      </w:r>
      <w:proofErr w:type="spellStart"/>
      <w:r w:rsidRPr="00D74920">
        <w:rPr>
          <w:rFonts w:cstheme="minorHAnsi"/>
          <w:sz w:val="19"/>
          <w:szCs w:val="19"/>
          <w:lang w:eastAsia="pl-PL"/>
        </w:rPr>
        <w:t>żylnego</w:t>
      </w:r>
      <w:proofErr w:type="spellEnd"/>
      <w:proofErr w:type="gramEnd"/>
      <w:r w:rsidRPr="00D74920">
        <w:rPr>
          <w:rFonts w:cstheme="minorHAnsi"/>
          <w:sz w:val="19"/>
          <w:szCs w:val="19"/>
          <w:lang w:eastAsia="pl-PL"/>
        </w:rPr>
        <w:t xml:space="preserve"> i </w:t>
      </w:r>
      <w:proofErr w:type="spellStart"/>
      <w:r w:rsidRPr="00D74920">
        <w:rPr>
          <w:rFonts w:cstheme="minorHAnsi"/>
          <w:sz w:val="19"/>
          <w:szCs w:val="19"/>
          <w:lang w:eastAsia="pl-PL"/>
        </w:rPr>
        <w:t>tętniczego</w:t>
      </w:r>
      <w:proofErr w:type="spellEnd"/>
      <w:r w:rsidRPr="00D74920">
        <w:rPr>
          <w:rFonts w:cstheme="minorHAnsi"/>
          <w:sz w:val="19"/>
          <w:szCs w:val="19"/>
          <w:lang w:eastAsia="pl-PL"/>
        </w:rPr>
        <w:t xml:space="preserve"> poprzez ucisk, stosowanie podwiązek oraz innymi konwencjonalnymi metodami </w:t>
      </w:r>
      <w:proofErr w:type="spellStart"/>
      <w:r w:rsidRPr="00D74920">
        <w:rPr>
          <w:rFonts w:cstheme="minorHAnsi"/>
          <w:sz w:val="19"/>
          <w:szCs w:val="19"/>
          <w:lang w:eastAsia="pl-PL"/>
        </w:rPr>
        <w:t>okaże</w:t>
      </w:r>
      <w:proofErr w:type="spellEnd"/>
      <w:r w:rsidRPr="00D74920">
        <w:rPr>
          <w:rFonts w:cstheme="minorHAnsi"/>
          <w:sz w:val="19"/>
          <w:szCs w:val="19"/>
          <w:lang w:eastAsia="pl-PL"/>
        </w:rPr>
        <w:t xml:space="preserve"> się nieskuteczna lub niepraktyczna.</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w:t>
      </w:r>
      <w:r w:rsidRPr="00D74920">
        <w:rPr>
          <w:rFonts w:cstheme="minorHAnsi"/>
          <w:bCs/>
          <w:sz w:val="19"/>
          <w:szCs w:val="19"/>
          <w:lang w:eastAsia="pl-PL"/>
        </w:rPr>
        <w:t>SPOSÓB DOSTARCZANIA</w:t>
      </w:r>
    </w:p>
    <w:p w:rsidR="00C02B57" w:rsidRPr="00D74920" w:rsidRDefault="00C02B57" w:rsidP="00D74920">
      <w:pPr>
        <w:tabs>
          <w:tab w:val="left" w:pos="284"/>
        </w:tabs>
        <w:spacing w:after="0" w:line="360" w:lineRule="auto"/>
        <w:jc w:val="both"/>
        <w:rPr>
          <w:rFonts w:cstheme="minorHAnsi"/>
          <w:sz w:val="19"/>
          <w:szCs w:val="19"/>
          <w:lang w:eastAsia="pl-PL"/>
        </w:rPr>
      </w:pPr>
      <w:proofErr w:type="spellStart"/>
      <w:r w:rsidRPr="00D74920">
        <w:rPr>
          <w:rFonts w:cstheme="minorHAnsi"/>
          <w:sz w:val="19"/>
          <w:szCs w:val="19"/>
          <w:lang w:eastAsia="pl-PL"/>
        </w:rPr>
        <w:t>Środek</w:t>
      </w:r>
      <w:proofErr w:type="spellEnd"/>
      <w:r w:rsidRPr="00D74920">
        <w:rPr>
          <w:rFonts w:cstheme="minorHAnsi"/>
          <w:sz w:val="19"/>
          <w:szCs w:val="19"/>
          <w:lang w:eastAsia="pl-PL"/>
        </w:rPr>
        <w:t xml:space="preserve"> jest dostarczany w </w:t>
      </w:r>
      <w:proofErr w:type="spellStart"/>
      <w:r w:rsidRPr="00D74920">
        <w:rPr>
          <w:rFonts w:cstheme="minorHAnsi"/>
          <w:sz w:val="19"/>
          <w:szCs w:val="19"/>
          <w:lang w:eastAsia="pl-PL"/>
        </w:rPr>
        <w:t>aplikatorach</w:t>
      </w:r>
      <w:proofErr w:type="spellEnd"/>
      <w:r w:rsidRPr="00D74920">
        <w:rPr>
          <w:rFonts w:cstheme="minorHAnsi"/>
          <w:sz w:val="19"/>
          <w:szCs w:val="19"/>
          <w:lang w:eastAsia="pl-PL"/>
        </w:rPr>
        <w:t xml:space="preserve"> z miechem o </w:t>
      </w:r>
      <w:proofErr w:type="spellStart"/>
      <w:r w:rsidRPr="00D74920">
        <w:rPr>
          <w:rFonts w:cstheme="minorHAnsi"/>
          <w:sz w:val="19"/>
          <w:szCs w:val="19"/>
          <w:lang w:eastAsia="pl-PL"/>
        </w:rPr>
        <w:t>pojemności</w:t>
      </w:r>
      <w:proofErr w:type="spellEnd"/>
      <w:proofErr w:type="gramStart"/>
      <w:r w:rsidRPr="00D74920">
        <w:rPr>
          <w:rFonts w:cstheme="minorHAnsi"/>
          <w:sz w:val="19"/>
          <w:szCs w:val="19"/>
          <w:lang w:eastAsia="pl-PL"/>
        </w:rPr>
        <w:t xml:space="preserve">  3 ,5 </w:t>
      </w:r>
      <w:proofErr w:type="spellStart"/>
      <w:r w:rsidRPr="00D74920">
        <w:rPr>
          <w:rFonts w:cstheme="minorHAnsi"/>
          <w:sz w:val="19"/>
          <w:szCs w:val="19"/>
          <w:lang w:eastAsia="pl-PL"/>
        </w:rPr>
        <w:t>gramów</w:t>
      </w:r>
      <w:proofErr w:type="spellEnd"/>
      <w:proofErr w:type="gramEnd"/>
      <w:r w:rsidRPr="00D74920">
        <w:rPr>
          <w:rFonts w:cstheme="minorHAnsi"/>
          <w:sz w:val="19"/>
          <w:szCs w:val="19"/>
          <w:lang w:eastAsia="pl-PL"/>
        </w:rPr>
        <w:t>.  </w:t>
      </w:r>
    </w:p>
    <w:p w:rsidR="000C749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 xml:space="preserve">Proponowany materiał hemostatyczny z USA  jest stosowany  od lat w wielu klinikach i szpitalach zarówno w </w:t>
      </w:r>
      <w:proofErr w:type="gramStart"/>
      <w:r w:rsidRPr="00D74920">
        <w:rPr>
          <w:rFonts w:cstheme="minorHAnsi"/>
          <w:sz w:val="19"/>
          <w:szCs w:val="19"/>
          <w:lang w:eastAsia="pl-PL"/>
        </w:rPr>
        <w:t>Polsce                           jak</w:t>
      </w:r>
      <w:proofErr w:type="gramEnd"/>
      <w:r w:rsidRPr="00D74920">
        <w:rPr>
          <w:rFonts w:cstheme="minorHAnsi"/>
          <w:sz w:val="19"/>
          <w:szCs w:val="19"/>
          <w:lang w:eastAsia="pl-PL"/>
        </w:rPr>
        <w:t xml:space="preserve"> i na świecie) , wysokiej jakości </w:t>
      </w:r>
      <w:proofErr w:type="spellStart"/>
      <w:r w:rsidRPr="00D74920">
        <w:rPr>
          <w:rFonts w:cstheme="minorHAnsi"/>
          <w:sz w:val="19"/>
          <w:szCs w:val="19"/>
          <w:lang w:eastAsia="pl-PL"/>
        </w:rPr>
        <w:t>produktuprodukty</w:t>
      </w:r>
      <w:proofErr w:type="spellEnd"/>
      <w:r w:rsidRPr="00D74920">
        <w:rPr>
          <w:rFonts w:cstheme="minorHAnsi"/>
          <w:sz w:val="19"/>
          <w:szCs w:val="19"/>
          <w:lang w:eastAsia="pl-PL"/>
        </w:rPr>
        <w:t xml:space="preserve">  pochodzą z USA i posiada wszelkie dokumenty typu CE i FDA , spełnia najwyższe normy bezpieczeństwa </w:t>
      </w:r>
    </w:p>
    <w:p w:rsidR="00C02B57" w:rsidRPr="00D74920" w:rsidRDefault="00C02B57" w:rsidP="00D74920">
      <w:pPr>
        <w:tabs>
          <w:tab w:val="left" w:pos="284"/>
        </w:tabs>
        <w:spacing w:after="0" w:line="360" w:lineRule="auto"/>
        <w:jc w:val="both"/>
        <w:rPr>
          <w:rFonts w:cstheme="minorHAnsi"/>
          <w:sz w:val="19"/>
          <w:szCs w:val="19"/>
          <w:lang w:eastAsia="pl-PL"/>
        </w:rPr>
      </w:pPr>
      <w:r w:rsidRPr="00D74920">
        <w:rPr>
          <w:rFonts w:cstheme="minorHAnsi"/>
          <w:sz w:val="19"/>
          <w:szCs w:val="19"/>
          <w:lang w:eastAsia="pl-PL"/>
        </w:rPr>
        <w:t>Czy Zamawiający  uzna powyższy produkt za równoważny i tym samym dopuści go do udziału w postępowaniu  ?</w:t>
      </w:r>
    </w:p>
    <w:p w:rsidR="00F115AB" w:rsidRPr="00916161" w:rsidRDefault="00C02B57" w:rsidP="00F115AB">
      <w:pPr>
        <w:pStyle w:val="Default"/>
        <w:tabs>
          <w:tab w:val="left" w:pos="284"/>
          <w:tab w:val="left" w:pos="851"/>
        </w:tabs>
        <w:spacing w:line="360" w:lineRule="auto"/>
        <w:jc w:val="both"/>
        <w:rPr>
          <w:rFonts w:asciiTheme="minorHAnsi" w:hAnsiTheme="minorHAnsi" w:cstheme="minorHAnsi"/>
          <w:b/>
          <w:color w:val="FF0000"/>
          <w:sz w:val="19"/>
          <w:szCs w:val="19"/>
        </w:rPr>
      </w:pPr>
      <w:r w:rsidRPr="00D74920">
        <w:rPr>
          <w:rFonts w:cstheme="minorHAnsi"/>
          <w:b/>
          <w:sz w:val="19"/>
          <w:szCs w:val="19"/>
        </w:rPr>
        <w:t xml:space="preserve">Odpowiedź: </w:t>
      </w:r>
      <w:r w:rsidR="00F115AB">
        <w:rPr>
          <w:rFonts w:cstheme="minorHAnsi"/>
          <w:sz w:val="19"/>
          <w:szCs w:val="19"/>
        </w:rPr>
        <w:t xml:space="preserve">zamawiający dopuszcza produkt opisany powyżej. </w:t>
      </w:r>
      <w:r w:rsidR="00F115AB">
        <w:rPr>
          <w:rFonts w:asciiTheme="minorHAnsi" w:hAnsiTheme="minorHAnsi" w:cstheme="minorHAnsi"/>
          <w:color w:val="auto"/>
          <w:sz w:val="19"/>
          <w:szCs w:val="19"/>
        </w:rPr>
        <w:t xml:space="preserve">Pozostałe wymagania zgodnie z SWZ – z uwzględnieniem pozostałych ewentualnych </w:t>
      </w:r>
      <w:proofErr w:type="spellStart"/>
      <w:r w:rsidR="00F115AB">
        <w:rPr>
          <w:rFonts w:asciiTheme="minorHAnsi" w:hAnsiTheme="minorHAnsi" w:cstheme="minorHAnsi"/>
          <w:color w:val="auto"/>
          <w:sz w:val="19"/>
          <w:szCs w:val="19"/>
        </w:rPr>
        <w:t>dopuszczeń</w:t>
      </w:r>
      <w:proofErr w:type="spellEnd"/>
      <w:r w:rsidR="00F115AB">
        <w:rPr>
          <w:rFonts w:asciiTheme="minorHAnsi" w:hAnsiTheme="minorHAnsi" w:cstheme="minorHAnsi"/>
          <w:color w:val="auto"/>
          <w:sz w:val="19"/>
          <w:szCs w:val="19"/>
        </w:rPr>
        <w:t xml:space="preserve">, wynikających z treści wyjaśnień i modyfikacji. </w:t>
      </w:r>
      <w:r w:rsidR="00F115AB" w:rsidRPr="00916161">
        <w:rPr>
          <w:rFonts w:asciiTheme="minorHAnsi" w:hAnsiTheme="minorHAnsi" w:cstheme="minorHAnsi"/>
          <w:b/>
          <w:color w:val="FF0000"/>
          <w:sz w:val="19"/>
          <w:szCs w:val="19"/>
        </w:rPr>
        <w:t xml:space="preserve"> </w:t>
      </w:r>
    </w:p>
    <w:p w:rsidR="00D205CE" w:rsidRDefault="00F115AB" w:rsidP="00D205CE">
      <w:pPr>
        <w:pStyle w:val="Akapitzlist"/>
        <w:pBdr>
          <w:top w:val="single" w:sz="4" w:space="1" w:color="auto"/>
        </w:pBdr>
        <w:tabs>
          <w:tab w:val="left" w:pos="284"/>
        </w:tabs>
        <w:spacing w:after="0" w:line="360" w:lineRule="auto"/>
        <w:ind w:left="0"/>
        <w:contextualSpacing w:val="0"/>
        <w:jc w:val="both"/>
        <w:rPr>
          <w:rFonts w:cstheme="minorHAnsi"/>
          <w:sz w:val="19"/>
          <w:szCs w:val="19"/>
        </w:rPr>
      </w:pPr>
      <w:r>
        <w:rPr>
          <w:rFonts w:cstheme="minorHAnsi"/>
          <w:sz w:val="19"/>
          <w:szCs w:val="19"/>
        </w:rPr>
        <w:t xml:space="preserve"> </w:t>
      </w:r>
    </w:p>
    <w:p w:rsidR="001C2917" w:rsidRPr="001C2917" w:rsidRDefault="001C2917" w:rsidP="00D205CE">
      <w:pPr>
        <w:pStyle w:val="Akapitzlist"/>
        <w:pBdr>
          <w:top w:val="single" w:sz="4" w:space="1" w:color="auto"/>
        </w:pBdr>
        <w:tabs>
          <w:tab w:val="left" w:pos="284"/>
        </w:tabs>
        <w:spacing w:after="0" w:line="360" w:lineRule="auto"/>
        <w:ind w:left="0"/>
        <w:contextualSpacing w:val="0"/>
        <w:jc w:val="both"/>
        <w:rPr>
          <w:rFonts w:cstheme="minorHAnsi"/>
          <w:b/>
          <w:sz w:val="19"/>
          <w:szCs w:val="19"/>
        </w:rPr>
      </w:pPr>
      <w:r w:rsidRPr="001C2917">
        <w:rPr>
          <w:rFonts w:cstheme="minorHAnsi"/>
          <w:b/>
          <w:sz w:val="19"/>
          <w:szCs w:val="19"/>
        </w:rPr>
        <w:t xml:space="preserve">II. </w:t>
      </w:r>
      <w:r w:rsidR="00D205CE">
        <w:rPr>
          <w:rFonts w:cstheme="minorHAnsi"/>
          <w:b/>
          <w:sz w:val="19"/>
          <w:szCs w:val="19"/>
        </w:rPr>
        <w:t>ZMIANA TRE</w:t>
      </w:r>
      <w:r w:rsidRPr="001C2917">
        <w:rPr>
          <w:rFonts w:cstheme="minorHAnsi"/>
          <w:b/>
          <w:sz w:val="19"/>
          <w:szCs w:val="19"/>
        </w:rPr>
        <w:t>ŚCI SWZ</w:t>
      </w:r>
    </w:p>
    <w:p w:rsidR="001C2917" w:rsidRDefault="001C2917" w:rsidP="001C2917">
      <w:pPr>
        <w:pStyle w:val="Stopka"/>
        <w:tabs>
          <w:tab w:val="clear" w:pos="4536"/>
          <w:tab w:val="clear" w:pos="9072"/>
          <w:tab w:val="left" w:pos="284"/>
        </w:tabs>
        <w:spacing w:line="360" w:lineRule="auto"/>
        <w:jc w:val="both"/>
        <w:rPr>
          <w:rFonts w:ascii="Calibri" w:hAnsi="Calibri" w:cs="Calibri"/>
          <w:sz w:val="19"/>
          <w:szCs w:val="19"/>
        </w:rPr>
      </w:pPr>
      <w:r>
        <w:rPr>
          <w:rFonts w:ascii="Calibri" w:hAnsi="Calibri" w:cs="Calibri"/>
          <w:sz w:val="19"/>
          <w:szCs w:val="19"/>
        </w:rPr>
        <w:t>Zamawiający, działając n</w:t>
      </w:r>
      <w:r w:rsidRPr="00EA5041">
        <w:rPr>
          <w:rFonts w:ascii="Calibri" w:hAnsi="Calibri" w:cs="Calibri"/>
          <w:sz w:val="19"/>
          <w:szCs w:val="19"/>
        </w:rPr>
        <w:t xml:space="preserve">a podstawie art. </w:t>
      </w:r>
      <w:r>
        <w:rPr>
          <w:rFonts w:ascii="Calibri" w:hAnsi="Calibri" w:cs="Calibri"/>
          <w:sz w:val="19"/>
          <w:szCs w:val="19"/>
        </w:rPr>
        <w:t xml:space="preserve">137 ust. 1 </w:t>
      </w:r>
      <w:r w:rsidRPr="00EA5041">
        <w:rPr>
          <w:rFonts w:ascii="Calibri" w:hAnsi="Calibri" w:cs="Calibri"/>
          <w:sz w:val="19"/>
          <w:szCs w:val="19"/>
        </w:rPr>
        <w:t xml:space="preserve">ustawy </w:t>
      </w:r>
      <w:r>
        <w:rPr>
          <w:rFonts w:ascii="Calibri" w:hAnsi="Calibri" w:cs="Calibri"/>
          <w:sz w:val="19"/>
          <w:szCs w:val="19"/>
        </w:rPr>
        <w:t>PZP</w:t>
      </w:r>
      <w:r w:rsidRPr="00EA5041">
        <w:rPr>
          <w:rFonts w:ascii="Calibri" w:hAnsi="Calibri" w:cs="Calibri"/>
          <w:sz w:val="19"/>
          <w:szCs w:val="19"/>
        </w:rPr>
        <w:t xml:space="preserve"> </w:t>
      </w:r>
      <w:r>
        <w:rPr>
          <w:rFonts w:ascii="Calibri" w:hAnsi="Calibri" w:cs="Calibri"/>
          <w:sz w:val="19"/>
          <w:szCs w:val="19"/>
        </w:rPr>
        <w:t>zmienia treść SWZ w taki sposób, że:</w:t>
      </w:r>
    </w:p>
    <w:p w:rsidR="0077594F" w:rsidRDefault="0077594F" w:rsidP="001C2917">
      <w:pPr>
        <w:pStyle w:val="Stopka"/>
        <w:numPr>
          <w:ilvl w:val="0"/>
          <w:numId w:val="17"/>
        </w:numPr>
        <w:tabs>
          <w:tab w:val="clear" w:pos="4536"/>
          <w:tab w:val="clear" w:pos="9072"/>
          <w:tab w:val="left" w:pos="284"/>
        </w:tabs>
        <w:spacing w:line="360" w:lineRule="auto"/>
        <w:ind w:left="284" w:hanging="284"/>
        <w:jc w:val="both"/>
        <w:rPr>
          <w:rFonts w:ascii="Calibri" w:hAnsi="Calibri" w:cs="Calibri"/>
          <w:sz w:val="19"/>
          <w:szCs w:val="19"/>
        </w:rPr>
      </w:pPr>
      <w:proofErr w:type="gramStart"/>
      <w:r>
        <w:rPr>
          <w:rFonts w:ascii="Calibri" w:hAnsi="Calibri" w:cs="Calibri"/>
          <w:sz w:val="19"/>
          <w:szCs w:val="19"/>
        </w:rPr>
        <w:t>w</w:t>
      </w:r>
      <w:proofErr w:type="gramEnd"/>
      <w:r>
        <w:rPr>
          <w:rFonts w:ascii="Calibri" w:hAnsi="Calibri" w:cs="Calibri"/>
          <w:sz w:val="19"/>
          <w:szCs w:val="19"/>
        </w:rPr>
        <w:t xml:space="preserve"> treści punktu XIX </w:t>
      </w:r>
      <w:proofErr w:type="spellStart"/>
      <w:r>
        <w:rPr>
          <w:rFonts w:ascii="Calibri" w:hAnsi="Calibri" w:cs="Calibri"/>
          <w:sz w:val="19"/>
          <w:szCs w:val="19"/>
        </w:rPr>
        <w:t>ppkt</w:t>
      </w:r>
      <w:proofErr w:type="spellEnd"/>
      <w:r>
        <w:rPr>
          <w:rFonts w:ascii="Calibri" w:hAnsi="Calibri" w:cs="Calibri"/>
          <w:sz w:val="19"/>
          <w:szCs w:val="19"/>
        </w:rPr>
        <w:t xml:space="preserve"> 1b) SWZ </w:t>
      </w:r>
      <w:proofErr w:type="spellStart"/>
      <w:r>
        <w:rPr>
          <w:rFonts w:ascii="Calibri" w:hAnsi="Calibri" w:cs="Calibri"/>
          <w:sz w:val="19"/>
          <w:szCs w:val="19"/>
        </w:rPr>
        <w:t>tiret</w:t>
      </w:r>
      <w:proofErr w:type="spellEnd"/>
      <w:r>
        <w:rPr>
          <w:rFonts w:ascii="Calibri" w:hAnsi="Calibri" w:cs="Calibri"/>
          <w:sz w:val="19"/>
          <w:szCs w:val="19"/>
        </w:rPr>
        <w:t xml:space="preserve"> czwarte</w:t>
      </w:r>
      <w:r w:rsidR="000C7490">
        <w:rPr>
          <w:rFonts w:ascii="Calibri" w:hAnsi="Calibri" w:cs="Calibri"/>
          <w:sz w:val="19"/>
          <w:szCs w:val="19"/>
        </w:rPr>
        <w:t xml:space="preserve"> </w:t>
      </w:r>
      <w:r w:rsidR="000C7490">
        <w:rPr>
          <w:rFonts w:ascii="Calibri" w:hAnsi="Calibri" w:cs="Calibri"/>
          <w:sz w:val="19"/>
          <w:szCs w:val="19"/>
        </w:rPr>
        <w:t>wykreśla</w:t>
      </w:r>
      <w:r w:rsidR="000C7490">
        <w:rPr>
          <w:rFonts w:ascii="Calibri" w:hAnsi="Calibri" w:cs="Calibri"/>
          <w:sz w:val="19"/>
          <w:szCs w:val="19"/>
        </w:rPr>
        <w:t xml:space="preserve"> „nie dopuszcza” i wprowadza nowe w brzmieniu „ dopuszcza”</w:t>
      </w:r>
      <w:r>
        <w:rPr>
          <w:rFonts w:ascii="Calibri" w:hAnsi="Calibri" w:cs="Calibri"/>
          <w:sz w:val="19"/>
          <w:szCs w:val="19"/>
        </w:rPr>
        <w:t xml:space="preserve"> </w:t>
      </w:r>
      <w:r w:rsidR="00332304">
        <w:rPr>
          <w:rFonts w:ascii="Calibri" w:hAnsi="Calibri" w:cs="Calibri"/>
          <w:sz w:val="19"/>
          <w:szCs w:val="19"/>
        </w:rPr>
        <w:t xml:space="preserve">wraz z gramatyczną konsekwencją tej zmiany </w:t>
      </w:r>
      <w:r>
        <w:rPr>
          <w:rFonts w:ascii="Calibri" w:hAnsi="Calibri" w:cs="Calibri"/>
          <w:sz w:val="19"/>
          <w:szCs w:val="19"/>
        </w:rPr>
        <w:t xml:space="preserve">(dot. dystrybutora); </w:t>
      </w:r>
    </w:p>
    <w:p w:rsidR="00D205CE" w:rsidRDefault="00D205CE" w:rsidP="001C2917">
      <w:pPr>
        <w:pStyle w:val="Stopka"/>
        <w:numPr>
          <w:ilvl w:val="0"/>
          <w:numId w:val="17"/>
        </w:numPr>
        <w:tabs>
          <w:tab w:val="clear" w:pos="4536"/>
          <w:tab w:val="clear" w:pos="9072"/>
          <w:tab w:val="left" w:pos="284"/>
        </w:tabs>
        <w:spacing w:line="360" w:lineRule="auto"/>
        <w:ind w:left="284" w:hanging="284"/>
        <w:jc w:val="both"/>
        <w:rPr>
          <w:rFonts w:ascii="Calibri" w:hAnsi="Calibri" w:cs="Calibri"/>
          <w:sz w:val="19"/>
          <w:szCs w:val="19"/>
        </w:rPr>
      </w:pPr>
      <w:proofErr w:type="gramStart"/>
      <w:r>
        <w:rPr>
          <w:rFonts w:ascii="Calibri" w:hAnsi="Calibri" w:cs="Calibri"/>
          <w:sz w:val="19"/>
          <w:szCs w:val="19"/>
        </w:rPr>
        <w:t>w</w:t>
      </w:r>
      <w:proofErr w:type="gramEnd"/>
      <w:r>
        <w:rPr>
          <w:rFonts w:ascii="Calibri" w:hAnsi="Calibri" w:cs="Calibri"/>
          <w:sz w:val="19"/>
          <w:szCs w:val="19"/>
        </w:rPr>
        <w:t xml:space="preserve"> treści § 2 ust. 2 wykreśla „5” i wprowadza „10” (dni roboczych);  </w:t>
      </w:r>
    </w:p>
    <w:p w:rsidR="00D205CE" w:rsidRDefault="001C2917" w:rsidP="001C2917">
      <w:pPr>
        <w:pStyle w:val="Stopka"/>
        <w:numPr>
          <w:ilvl w:val="0"/>
          <w:numId w:val="17"/>
        </w:numPr>
        <w:tabs>
          <w:tab w:val="clear" w:pos="4536"/>
          <w:tab w:val="clear" w:pos="9072"/>
          <w:tab w:val="left" w:pos="284"/>
        </w:tabs>
        <w:spacing w:line="360" w:lineRule="auto"/>
        <w:ind w:left="284" w:hanging="284"/>
        <w:jc w:val="both"/>
        <w:rPr>
          <w:rFonts w:ascii="Calibri" w:hAnsi="Calibri" w:cs="Calibri"/>
          <w:sz w:val="19"/>
          <w:szCs w:val="19"/>
        </w:rPr>
      </w:pPr>
      <w:proofErr w:type="gramStart"/>
      <w:r>
        <w:rPr>
          <w:rFonts w:ascii="Calibri" w:hAnsi="Calibri" w:cs="Calibri"/>
          <w:sz w:val="19"/>
          <w:szCs w:val="19"/>
        </w:rPr>
        <w:t>w</w:t>
      </w:r>
      <w:proofErr w:type="gramEnd"/>
      <w:r>
        <w:rPr>
          <w:rFonts w:ascii="Calibri" w:hAnsi="Calibri" w:cs="Calibri"/>
          <w:sz w:val="19"/>
          <w:szCs w:val="19"/>
        </w:rPr>
        <w:t xml:space="preserve"> treści § </w:t>
      </w:r>
      <w:r w:rsidR="00D205CE">
        <w:rPr>
          <w:rFonts w:ascii="Calibri" w:hAnsi="Calibri" w:cs="Calibri"/>
          <w:sz w:val="19"/>
          <w:szCs w:val="19"/>
        </w:rPr>
        <w:t>7 dodaje ust. 7 (dot. waloryzacji).</w:t>
      </w:r>
    </w:p>
    <w:p w:rsidR="006C3040" w:rsidRDefault="006C3040" w:rsidP="000C7490">
      <w:pPr>
        <w:pBdr>
          <w:top w:val="single" w:sz="4" w:space="1" w:color="auto"/>
        </w:pBdr>
        <w:spacing w:after="0" w:line="360" w:lineRule="auto"/>
        <w:jc w:val="both"/>
        <w:rPr>
          <w:rFonts w:cstheme="minorHAnsi"/>
          <w:b/>
          <w:sz w:val="19"/>
          <w:szCs w:val="19"/>
          <w:lang w:eastAsia="pl-PL"/>
        </w:rPr>
      </w:pPr>
      <w:r w:rsidRPr="00D74920">
        <w:rPr>
          <w:rFonts w:cstheme="minorHAnsi"/>
          <w:b/>
          <w:sz w:val="19"/>
          <w:szCs w:val="19"/>
          <w:lang w:eastAsia="pl-PL"/>
        </w:rPr>
        <w:t>Wykonawcy powinni uwzględnić powyższe podczas przygotowywania i składania ofert.</w:t>
      </w:r>
    </w:p>
    <w:p w:rsidR="00332304" w:rsidRDefault="00332304" w:rsidP="00332304">
      <w:pPr>
        <w:spacing w:after="0" w:line="360" w:lineRule="auto"/>
        <w:ind w:left="5670"/>
        <w:jc w:val="both"/>
        <w:rPr>
          <w:rFonts w:cstheme="minorHAnsi"/>
          <w:b/>
          <w:sz w:val="19"/>
          <w:szCs w:val="19"/>
          <w:lang w:eastAsia="pl-PL"/>
        </w:rPr>
      </w:pPr>
    </w:p>
    <w:p w:rsidR="00332304" w:rsidRPr="00D74920" w:rsidRDefault="00332304" w:rsidP="00332304">
      <w:pPr>
        <w:spacing w:after="0" w:line="360" w:lineRule="auto"/>
        <w:ind w:left="5670"/>
        <w:jc w:val="both"/>
        <w:rPr>
          <w:rFonts w:cstheme="minorHAnsi"/>
          <w:b/>
          <w:sz w:val="19"/>
          <w:szCs w:val="19"/>
          <w:lang w:eastAsia="pl-PL"/>
        </w:rPr>
      </w:pPr>
      <w:r w:rsidRPr="00D74920">
        <w:rPr>
          <w:rFonts w:cstheme="minorHAnsi"/>
          <w:b/>
          <w:sz w:val="19"/>
          <w:szCs w:val="19"/>
          <w:lang w:eastAsia="pl-PL"/>
        </w:rPr>
        <w:t>DYREKTOR SPSK-2</w:t>
      </w:r>
    </w:p>
    <w:p w:rsidR="00332304" w:rsidRPr="00D74920" w:rsidRDefault="00332304" w:rsidP="00332304">
      <w:pPr>
        <w:spacing w:after="0" w:line="360" w:lineRule="auto"/>
        <w:ind w:left="5670"/>
        <w:jc w:val="both"/>
        <w:rPr>
          <w:rFonts w:cstheme="minorHAnsi"/>
          <w:sz w:val="19"/>
          <w:szCs w:val="19"/>
          <w:lang w:eastAsia="pl-PL"/>
        </w:rPr>
      </w:pPr>
      <w:r w:rsidRPr="00D74920">
        <w:rPr>
          <w:rFonts w:cstheme="minorHAnsi"/>
          <w:sz w:val="19"/>
          <w:szCs w:val="19"/>
          <w:lang w:eastAsia="pl-PL"/>
        </w:rPr>
        <w:t>PODPIS W ORYGINALE</w:t>
      </w:r>
      <w:bookmarkStart w:id="1" w:name="_GoBack"/>
      <w:bookmarkEnd w:id="1"/>
    </w:p>
    <w:sectPr w:rsidR="00332304" w:rsidRPr="00D74920" w:rsidSect="000C7490">
      <w:type w:val="continuous"/>
      <w:pgSz w:w="11906" w:h="16838" w:code="9"/>
      <w:pgMar w:top="1134" w:right="1134" w:bottom="567" w:left="1134" w:header="1077"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0D" w:rsidRDefault="0040260D" w:rsidP="00073102">
      <w:pPr>
        <w:spacing w:after="0" w:line="240" w:lineRule="auto"/>
      </w:pPr>
      <w:r>
        <w:separator/>
      </w:r>
    </w:p>
  </w:endnote>
  <w:endnote w:type="continuationSeparator" w:id="0">
    <w:p w:rsidR="0040260D" w:rsidRDefault="0040260D"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0D" w:rsidRDefault="0040260D" w:rsidP="006E69D8">
    <w:pPr>
      <w:pStyle w:val="Stopka"/>
      <w:jc w:val="right"/>
      <w:rPr>
        <w:b/>
        <w:bCs/>
      </w:rPr>
    </w:pPr>
  </w:p>
  <w:p w:rsidR="0040260D" w:rsidRPr="006C62EA" w:rsidRDefault="0040260D" w:rsidP="006E69D8">
    <w:pPr>
      <w:pStyle w:val="Stopka"/>
      <w:jc w:val="right"/>
      <w:rPr>
        <w:sz w:val="19"/>
        <w:szCs w:val="19"/>
      </w:rPr>
    </w:pPr>
    <w:r w:rsidRPr="006C62EA">
      <w:rPr>
        <w:b/>
        <w:bCs/>
        <w:sz w:val="19"/>
        <w:szCs w:val="19"/>
      </w:rPr>
      <w:fldChar w:fldCharType="begin"/>
    </w:r>
    <w:r w:rsidRPr="006C62EA">
      <w:rPr>
        <w:b/>
        <w:bCs/>
        <w:sz w:val="19"/>
        <w:szCs w:val="19"/>
      </w:rPr>
      <w:instrText>PAGE  \* Arabic  \* MERGEFORMAT</w:instrText>
    </w:r>
    <w:r w:rsidRPr="006C62EA">
      <w:rPr>
        <w:b/>
        <w:bCs/>
        <w:sz w:val="19"/>
        <w:szCs w:val="19"/>
      </w:rPr>
      <w:fldChar w:fldCharType="separate"/>
    </w:r>
    <w:r w:rsidR="00332304">
      <w:rPr>
        <w:b/>
        <w:bCs/>
        <w:noProof/>
        <w:sz w:val="19"/>
        <w:szCs w:val="19"/>
      </w:rPr>
      <w:t>3</w:t>
    </w:r>
    <w:r w:rsidRPr="006C62EA">
      <w:rPr>
        <w:b/>
        <w:bCs/>
        <w:sz w:val="19"/>
        <w:szCs w:val="19"/>
      </w:rPr>
      <w:fldChar w:fldCharType="end"/>
    </w:r>
    <w:r w:rsidRPr="006C62EA">
      <w:rPr>
        <w:sz w:val="19"/>
        <w:szCs w:val="19"/>
      </w:rPr>
      <w:t xml:space="preserve"> / </w:t>
    </w:r>
    <w:r w:rsidRPr="006C62EA">
      <w:rPr>
        <w:sz w:val="19"/>
        <w:szCs w:val="19"/>
      </w:rPr>
      <w:fldChar w:fldCharType="begin"/>
    </w:r>
    <w:r w:rsidRPr="006C62EA">
      <w:rPr>
        <w:sz w:val="19"/>
        <w:szCs w:val="19"/>
      </w:rPr>
      <w:instrText>NUMPAGES  \* Arabic  \* MERGEFORMAT</w:instrText>
    </w:r>
    <w:r w:rsidRPr="006C62EA">
      <w:rPr>
        <w:sz w:val="19"/>
        <w:szCs w:val="19"/>
      </w:rPr>
      <w:fldChar w:fldCharType="separate"/>
    </w:r>
    <w:r w:rsidR="00332304">
      <w:rPr>
        <w:noProof/>
        <w:sz w:val="19"/>
        <w:szCs w:val="19"/>
      </w:rPr>
      <w:t>4</w:t>
    </w:r>
    <w:r w:rsidRPr="006C62EA">
      <w:rPr>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0D" w:rsidRDefault="0040260D"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14:anchorId="616A2EB7" wp14:editId="418F13C6">
          <wp:simplePos x="0" y="0"/>
          <wp:positionH relativeFrom="column">
            <wp:posOffset>4622165</wp:posOffset>
          </wp:positionH>
          <wp:positionV relativeFrom="paragraph">
            <wp:posOffset>-525145</wp:posOffset>
          </wp:positionV>
          <wp:extent cx="781050" cy="809625"/>
          <wp:effectExtent l="0" t="0" r="0" b="0"/>
          <wp:wrapNone/>
          <wp:docPr id="4" name="Obraz 1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28F65EFC" wp14:editId="0EA6AB0A">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2AFC48AB" wp14:editId="2B7C9E24">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85EA64B"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14:anchorId="66CB92A2" wp14:editId="2AC53C9A">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w14:anchorId="07DE9908"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14:anchorId="6BB29B10" wp14:editId="3DF39AB7">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40260D" w:rsidRPr="0009148A" w:rsidRDefault="0040260D"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40260D" w:rsidRPr="0009148A" w:rsidRDefault="0040260D" w:rsidP="00A14EDD">
                          <w:pPr>
                            <w:spacing w:after="0" w:line="240" w:lineRule="auto"/>
                            <w:rPr>
                              <w:rFonts w:ascii="Tahoma" w:hAnsi="Tahoma" w:cs="Tahoma"/>
                              <w:sz w:val="16"/>
                            </w:rPr>
                          </w:pPr>
                          <w:r w:rsidRPr="0009148A">
                            <w:rPr>
                              <w:rFonts w:ascii="Tahoma" w:hAnsi="Tahoma" w:cs="Tahoma"/>
                              <w:sz w:val="16"/>
                            </w:rPr>
                            <w:t>Dział Zamówień Publicznych</w:t>
                          </w:r>
                        </w:p>
                        <w:p w:rsidR="0040260D" w:rsidRDefault="0040260D" w:rsidP="00A14EDD">
                          <w:pPr>
                            <w:spacing w:after="0" w:line="240" w:lineRule="auto"/>
                            <w:rPr>
                              <w:rFonts w:ascii="Calibri" w:hAnsi="Calibri" w:cs="Calibri"/>
                            </w:rPr>
                          </w:pPr>
                          <w:r w:rsidRPr="0009148A">
                            <w:rPr>
                              <w:rFonts w:ascii="Tahoma" w:hAnsi="Tahoma" w:cs="Tahoma"/>
                              <w:b/>
                              <w:sz w:val="16"/>
                            </w:rPr>
                            <w:t>T</w:t>
                          </w:r>
                          <w:r>
                            <w:rPr>
                              <w:rFonts w:ascii="Tahoma" w:hAnsi="Tahoma" w:cs="Tahoma"/>
                              <w:sz w:val="16"/>
                            </w:rPr>
                            <w:t xml:space="preserve">: 91 466 11 13 </w:t>
                          </w:r>
                          <w:r w:rsidRPr="0009148A">
                            <w:rPr>
                              <w:rFonts w:ascii="Tahoma" w:hAnsi="Tahoma" w:cs="Tahoma"/>
                              <w:b/>
                              <w:sz w:val="16"/>
                            </w:rPr>
                            <w:t>E</w:t>
                          </w:r>
                          <w:r w:rsidRPr="0009148A">
                            <w:rPr>
                              <w:rFonts w:ascii="Tahoma" w:hAnsi="Tahoma" w:cs="Tahoma"/>
                              <w:sz w:val="16"/>
                            </w:rPr>
                            <w:t xml:space="preserve">: </w:t>
                          </w:r>
                          <w:hyperlink r:id="rId3" w:history="1">
                            <w:r w:rsidRPr="0009148A">
                              <w:rPr>
                                <w:rStyle w:val="Hipercze"/>
                                <w:rFonts w:ascii="Tahoma" w:hAnsi="Tahoma" w:cs="Tahoma"/>
                                <w:sz w:val="16"/>
                              </w:rPr>
                              <w:t>k.rogiewicz@spsk2-szczecin.pl</w:t>
                            </w:r>
                          </w:hyperlink>
                        </w:p>
                        <w:p w:rsidR="0040260D" w:rsidRDefault="0040260D" w:rsidP="00702E2A">
                          <w:pPr>
                            <w:spacing w:after="0" w:line="233" w:lineRule="auto"/>
                            <w:rPr>
                              <w:b/>
                              <w:sz w:val="18"/>
                            </w:rPr>
                          </w:pPr>
                          <w:r w:rsidRPr="0047186C">
                            <w:rPr>
                              <w:b/>
                              <w:noProof/>
                              <w:sz w:val="18"/>
                              <w:lang w:eastAsia="pl-PL"/>
                            </w:rPr>
                            <w:drawing>
                              <wp:inline distT="0" distB="0" distL="0" distR="0" wp14:anchorId="45C675EA" wp14:editId="69A67164">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40260D" w:rsidRDefault="0040260D" w:rsidP="00702E2A">
                          <w:pPr>
                            <w:spacing w:after="0" w:line="233" w:lineRule="auto"/>
                            <w:rPr>
                              <w:sz w:val="18"/>
                            </w:rPr>
                          </w:pPr>
                          <w:r>
                            <w:rPr>
                              <w:b/>
                              <w:sz w:val="18"/>
                            </w:rPr>
                            <w:t>Centrala: T:</w:t>
                          </w:r>
                          <w:r w:rsidRPr="001B5AD0">
                            <w:rPr>
                              <w:sz w:val="18"/>
                            </w:rPr>
                            <w:t>+48 91 466 10 00</w:t>
                          </w:r>
                        </w:p>
                        <w:p w:rsidR="0040260D" w:rsidRDefault="0040260D"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40260D" w:rsidRDefault="0040260D"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40260D" w:rsidRPr="001B5AD0" w:rsidRDefault="0040260D"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0260D" w:rsidRPr="00864A3E" w:rsidRDefault="0040260D"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6BB29B10"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40260D" w:rsidRPr="0009148A" w:rsidRDefault="0040260D" w:rsidP="00A14EDD">
                    <w:pPr>
                      <w:spacing w:after="0" w:line="240" w:lineRule="auto"/>
                      <w:rPr>
                        <w:rFonts w:ascii="Tahoma" w:hAnsi="Tahoma" w:cs="Tahoma"/>
                        <w:sz w:val="16"/>
                      </w:rPr>
                    </w:pPr>
                    <w:r>
                      <w:rPr>
                        <w:b/>
                        <w:sz w:val="18"/>
                      </w:rPr>
                      <w:t xml:space="preserve">Sprawę prowadzi: </w:t>
                    </w:r>
                    <w:r w:rsidRPr="0009148A">
                      <w:rPr>
                        <w:rFonts w:ascii="Tahoma" w:hAnsi="Tahoma" w:cs="Tahoma"/>
                        <w:sz w:val="16"/>
                      </w:rPr>
                      <w:t>Katarzyna Rogiewicz</w:t>
                    </w:r>
                  </w:p>
                  <w:p w:rsidR="0040260D" w:rsidRPr="0009148A" w:rsidRDefault="0040260D" w:rsidP="00A14EDD">
                    <w:pPr>
                      <w:spacing w:after="0" w:line="240" w:lineRule="auto"/>
                      <w:rPr>
                        <w:rFonts w:ascii="Tahoma" w:hAnsi="Tahoma" w:cs="Tahoma"/>
                        <w:sz w:val="16"/>
                      </w:rPr>
                    </w:pPr>
                    <w:r w:rsidRPr="0009148A">
                      <w:rPr>
                        <w:rFonts w:ascii="Tahoma" w:hAnsi="Tahoma" w:cs="Tahoma"/>
                        <w:sz w:val="16"/>
                      </w:rPr>
                      <w:t>Dział Zamówień Publicznych</w:t>
                    </w:r>
                  </w:p>
                  <w:p w:rsidR="0040260D" w:rsidRDefault="0040260D" w:rsidP="00A14EDD">
                    <w:pPr>
                      <w:spacing w:after="0" w:line="240" w:lineRule="auto"/>
                      <w:rPr>
                        <w:rFonts w:ascii="Calibri" w:hAnsi="Calibri" w:cs="Calibri"/>
                      </w:rPr>
                    </w:pPr>
                    <w:r w:rsidRPr="0009148A">
                      <w:rPr>
                        <w:rFonts w:ascii="Tahoma" w:hAnsi="Tahoma" w:cs="Tahoma"/>
                        <w:b/>
                        <w:sz w:val="16"/>
                      </w:rPr>
                      <w:t>T</w:t>
                    </w:r>
                    <w:r>
                      <w:rPr>
                        <w:rFonts w:ascii="Tahoma" w:hAnsi="Tahoma" w:cs="Tahoma"/>
                        <w:sz w:val="16"/>
                      </w:rPr>
                      <w:t xml:space="preserve">: 91 466 11 13 </w:t>
                    </w:r>
                    <w:r w:rsidRPr="0009148A">
                      <w:rPr>
                        <w:rFonts w:ascii="Tahoma" w:hAnsi="Tahoma" w:cs="Tahoma"/>
                        <w:b/>
                        <w:sz w:val="16"/>
                      </w:rPr>
                      <w:t>E</w:t>
                    </w:r>
                    <w:r w:rsidRPr="0009148A">
                      <w:rPr>
                        <w:rFonts w:ascii="Tahoma" w:hAnsi="Tahoma" w:cs="Tahoma"/>
                        <w:sz w:val="16"/>
                      </w:rPr>
                      <w:t xml:space="preserve">: </w:t>
                    </w:r>
                    <w:hyperlink r:id="rId5" w:history="1">
                      <w:r w:rsidRPr="0009148A">
                        <w:rPr>
                          <w:rStyle w:val="Hipercze"/>
                          <w:rFonts w:ascii="Tahoma" w:hAnsi="Tahoma" w:cs="Tahoma"/>
                          <w:sz w:val="16"/>
                        </w:rPr>
                        <w:t>k.rogiewicz@spsk2-szczecin.pl</w:t>
                      </w:r>
                    </w:hyperlink>
                  </w:p>
                  <w:p w:rsidR="0040260D" w:rsidRDefault="0040260D" w:rsidP="00702E2A">
                    <w:pPr>
                      <w:spacing w:after="0" w:line="233" w:lineRule="auto"/>
                      <w:rPr>
                        <w:b/>
                        <w:sz w:val="18"/>
                      </w:rPr>
                    </w:pPr>
                    <w:r w:rsidRPr="0047186C">
                      <w:rPr>
                        <w:b/>
                        <w:noProof/>
                        <w:sz w:val="18"/>
                        <w:lang w:eastAsia="pl-PL"/>
                      </w:rPr>
                      <w:drawing>
                        <wp:inline distT="0" distB="0" distL="0" distR="0" wp14:anchorId="45C675EA" wp14:editId="69A67164">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40260D" w:rsidRDefault="0040260D" w:rsidP="00702E2A">
                    <w:pPr>
                      <w:spacing w:after="0" w:line="233" w:lineRule="auto"/>
                      <w:rPr>
                        <w:sz w:val="18"/>
                      </w:rPr>
                    </w:pPr>
                    <w:r>
                      <w:rPr>
                        <w:b/>
                        <w:sz w:val="18"/>
                      </w:rPr>
                      <w:t>Centrala: T:</w:t>
                    </w:r>
                    <w:r w:rsidRPr="001B5AD0">
                      <w:rPr>
                        <w:sz w:val="18"/>
                      </w:rPr>
                      <w:t>+48 91 466 10 00</w:t>
                    </w:r>
                  </w:p>
                  <w:p w:rsidR="0040260D" w:rsidRDefault="0040260D"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40260D" w:rsidRDefault="0040260D"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40260D" w:rsidRPr="001B5AD0" w:rsidRDefault="0040260D"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40260D" w:rsidRPr="00864A3E" w:rsidRDefault="0040260D" w:rsidP="00702E2A">
                    <w:pPr>
                      <w:spacing w:after="0" w:line="233" w:lineRule="auto"/>
                    </w:pPr>
                  </w:p>
                </w:txbxContent>
              </v:textbox>
              <w10:wrap anchory="page"/>
              <w10:anchorlock/>
            </v:shape>
          </w:pict>
        </mc:Fallback>
      </mc:AlternateContent>
    </w:r>
    <w:r>
      <w:tab/>
    </w:r>
  </w:p>
  <w:p w:rsidR="0040260D" w:rsidRDefault="0040260D"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0D" w:rsidRDefault="0040260D" w:rsidP="00073102">
      <w:pPr>
        <w:spacing w:after="0" w:line="240" w:lineRule="auto"/>
      </w:pPr>
      <w:bookmarkStart w:id="0" w:name="_Hlk30413586"/>
      <w:bookmarkEnd w:id="0"/>
      <w:r>
        <w:separator/>
      </w:r>
    </w:p>
  </w:footnote>
  <w:footnote w:type="continuationSeparator" w:id="0">
    <w:p w:rsidR="0040260D" w:rsidRDefault="0040260D"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0D" w:rsidRPr="00B20EBC" w:rsidRDefault="0040260D"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14:anchorId="36BC1174" wp14:editId="67F66E39">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53C5A236"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14:anchorId="73EF6DCD" wp14:editId="43543D4B">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40260D" w:rsidRPr="00A14EDD" w:rsidRDefault="0040260D" w:rsidP="003A23C4">
                          <w:pPr>
                            <w:spacing w:after="0" w:line="252" w:lineRule="auto"/>
                            <w:rPr>
                              <w:b/>
                              <w:sz w:val="20"/>
                              <w:szCs w:val="20"/>
                            </w:rPr>
                          </w:pPr>
                          <w:proofErr w:type="gramStart"/>
                          <w:r w:rsidRPr="00A14EDD">
                            <w:rPr>
                              <w:b/>
                              <w:sz w:val="20"/>
                              <w:szCs w:val="20"/>
                            </w:rPr>
                            <w:t>al</w:t>
                          </w:r>
                          <w:proofErr w:type="gramEnd"/>
                          <w:r w:rsidRPr="00A14EDD">
                            <w:rPr>
                              <w:b/>
                              <w:sz w:val="20"/>
                              <w:szCs w:val="20"/>
                            </w:rPr>
                            <w:t xml:space="preserve">. Powstańców Wielkopolskich 72 </w:t>
                          </w:r>
                        </w:p>
                        <w:p w:rsidR="0040260D" w:rsidRPr="00A14EDD" w:rsidRDefault="0040260D"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3EF6DCD"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40260D" w:rsidRPr="00A14EDD" w:rsidRDefault="0040260D" w:rsidP="003A23C4">
                    <w:pPr>
                      <w:spacing w:after="0" w:line="252" w:lineRule="auto"/>
                      <w:rPr>
                        <w:b/>
                        <w:sz w:val="20"/>
                        <w:szCs w:val="20"/>
                      </w:rPr>
                    </w:pPr>
                    <w:r w:rsidRPr="00A14EDD">
                      <w:rPr>
                        <w:b/>
                        <w:sz w:val="20"/>
                        <w:szCs w:val="20"/>
                      </w:rPr>
                      <w:t xml:space="preserve">al. Powstańców Wielkopolskich 72 </w:t>
                    </w:r>
                  </w:p>
                  <w:p w:rsidR="0040260D" w:rsidRPr="00A14EDD" w:rsidRDefault="0040260D"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14:anchorId="11C04EC6" wp14:editId="199AC452">
          <wp:simplePos x="0" y="0"/>
          <wp:positionH relativeFrom="page">
            <wp:align>left</wp:align>
          </wp:positionH>
          <wp:positionV relativeFrom="page">
            <wp:align>top</wp:align>
          </wp:positionV>
          <wp:extent cx="2847340" cy="144018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3CFA"/>
    <w:multiLevelType w:val="hybridMultilevel"/>
    <w:tmpl w:val="1CC4EB9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4E6643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AFC74CE"/>
    <w:multiLevelType w:val="hybridMultilevel"/>
    <w:tmpl w:val="AD3E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0C633C"/>
    <w:multiLevelType w:val="hybridMultilevel"/>
    <w:tmpl w:val="10CCE574"/>
    <w:lvl w:ilvl="0" w:tplc="C4D82F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5D2420"/>
    <w:multiLevelType w:val="hybridMultilevel"/>
    <w:tmpl w:val="359A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0472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0385FF5"/>
    <w:multiLevelType w:val="hybridMultilevel"/>
    <w:tmpl w:val="41129E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DEE6F47"/>
    <w:multiLevelType w:val="hybridMultilevel"/>
    <w:tmpl w:val="3A7C0D6A"/>
    <w:lvl w:ilvl="0" w:tplc="C6AAF1C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496C7A"/>
    <w:multiLevelType w:val="hybridMultilevel"/>
    <w:tmpl w:val="4AB46FE6"/>
    <w:lvl w:ilvl="0" w:tplc="8A72BD5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6BE74A10"/>
    <w:multiLevelType w:val="hybridMultilevel"/>
    <w:tmpl w:val="3A2E5944"/>
    <w:lvl w:ilvl="0" w:tplc="FBC8B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B97278"/>
    <w:multiLevelType w:val="hybridMultilevel"/>
    <w:tmpl w:val="2BFCBA6C"/>
    <w:lvl w:ilvl="0" w:tplc="96E2D4FC">
      <w:start w:val="5"/>
      <w:numFmt w:val="decimal"/>
      <w:lvlText w:val="%1."/>
      <w:lvlJc w:val="left"/>
      <w:pPr>
        <w:ind w:left="1778" w:hanging="360"/>
      </w:pPr>
      <w:rPr>
        <w:rFonts w:cs="Times New Roman" w:hint="default"/>
        <w:b w:val="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1">
    <w:nsid w:val="79755A31"/>
    <w:multiLevelType w:val="hybridMultilevel"/>
    <w:tmpl w:val="C4D47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57718E"/>
    <w:multiLevelType w:val="hybridMultilevel"/>
    <w:tmpl w:val="2ADE0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2"/>
  </w:num>
  <w:num w:numId="5">
    <w:abstractNumId w:val="6"/>
  </w:num>
  <w:num w:numId="6">
    <w:abstractNumId w:val="12"/>
  </w:num>
  <w:num w:numId="7">
    <w:abstractNumId w:val="7"/>
  </w:num>
  <w:num w:numId="8">
    <w:abstractNumId w:val="4"/>
  </w:num>
  <w:num w:numId="9">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0"/>
  </w:num>
  <w:num w:numId="13">
    <w:abstractNumId w:val="10"/>
  </w:num>
  <w:num w:numId="14">
    <w:abstractNumId w:val="9"/>
  </w:num>
  <w:num w:numId="15">
    <w:abstractNumId w:val="8"/>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27E08"/>
    <w:rsid w:val="00035E6E"/>
    <w:rsid w:val="00041646"/>
    <w:rsid w:val="00044FFB"/>
    <w:rsid w:val="00060950"/>
    <w:rsid w:val="000725B5"/>
    <w:rsid w:val="00073102"/>
    <w:rsid w:val="00083698"/>
    <w:rsid w:val="0009148A"/>
    <w:rsid w:val="00095D83"/>
    <w:rsid w:val="000962FF"/>
    <w:rsid w:val="000C7490"/>
    <w:rsid w:val="000D2358"/>
    <w:rsid w:val="000D27FC"/>
    <w:rsid w:val="000D5C6F"/>
    <w:rsid w:val="00112146"/>
    <w:rsid w:val="0012253F"/>
    <w:rsid w:val="0012585A"/>
    <w:rsid w:val="0013090F"/>
    <w:rsid w:val="0015494F"/>
    <w:rsid w:val="00154E82"/>
    <w:rsid w:val="00160139"/>
    <w:rsid w:val="001700F8"/>
    <w:rsid w:val="0017023E"/>
    <w:rsid w:val="00181087"/>
    <w:rsid w:val="001B5AD0"/>
    <w:rsid w:val="001C04D3"/>
    <w:rsid w:val="001C0B9A"/>
    <w:rsid w:val="001C1337"/>
    <w:rsid w:val="001C2917"/>
    <w:rsid w:val="001E3236"/>
    <w:rsid w:val="001F080C"/>
    <w:rsid w:val="0022236B"/>
    <w:rsid w:val="00224F00"/>
    <w:rsid w:val="00234D8E"/>
    <w:rsid w:val="00237AB1"/>
    <w:rsid w:val="00241719"/>
    <w:rsid w:val="00245E79"/>
    <w:rsid w:val="002528E7"/>
    <w:rsid w:val="00252957"/>
    <w:rsid w:val="00261A64"/>
    <w:rsid w:val="00264BAB"/>
    <w:rsid w:val="00275311"/>
    <w:rsid w:val="002770BD"/>
    <w:rsid w:val="002A55C9"/>
    <w:rsid w:val="002A6CAA"/>
    <w:rsid w:val="002B4F66"/>
    <w:rsid w:val="002C2D41"/>
    <w:rsid w:val="002D6FA8"/>
    <w:rsid w:val="002E0E4D"/>
    <w:rsid w:val="002E5EFE"/>
    <w:rsid w:val="002F0D04"/>
    <w:rsid w:val="0030419D"/>
    <w:rsid w:val="00306E71"/>
    <w:rsid w:val="00312842"/>
    <w:rsid w:val="003135FE"/>
    <w:rsid w:val="00323D99"/>
    <w:rsid w:val="00324EFF"/>
    <w:rsid w:val="003269A2"/>
    <w:rsid w:val="00332304"/>
    <w:rsid w:val="00346C4F"/>
    <w:rsid w:val="003524FF"/>
    <w:rsid w:val="00370961"/>
    <w:rsid w:val="00372BC2"/>
    <w:rsid w:val="00382A23"/>
    <w:rsid w:val="00386C77"/>
    <w:rsid w:val="00387887"/>
    <w:rsid w:val="003A23C4"/>
    <w:rsid w:val="003B0BAF"/>
    <w:rsid w:val="003D116B"/>
    <w:rsid w:val="003D1402"/>
    <w:rsid w:val="003D4A32"/>
    <w:rsid w:val="003E298A"/>
    <w:rsid w:val="003F2FD8"/>
    <w:rsid w:val="003F3EDA"/>
    <w:rsid w:val="003F6C07"/>
    <w:rsid w:val="0040260D"/>
    <w:rsid w:val="004052A3"/>
    <w:rsid w:val="00421883"/>
    <w:rsid w:val="0042248F"/>
    <w:rsid w:val="0042390D"/>
    <w:rsid w:val="00431AA2"/>
    <w:rsid w:val="00433003"/>
    <w:rsid w:val="0043584D"/>
    <w:rsid w:val="004432A3"/>
    <w:rsid w:val="004501D7"/>
    <w:rsid w:val="00450239"/>
    <w:rsid w:val="004503FB"/>
    <w:rsid w:val="00466F35"/>
    <w:rsid w:val="0047186C"/>
    <w:rsid w:val="00473A52"/>
    <w:rsid w:val="00474B0B"/>
    <w:rsid w:val="004754ED"/>
    <w:rsid w:val="004864C8"/>
    <w:rsid w:val="00492691"/>
    <w:rsid w:val="004A2BFE"/>
    <w:rsid w:val="004C5B52"/>
    <w:rsid w:val="004D2CAA"/>
    <w:rsid w:val="004D6C97"/>
    <w:rsid w:val="0050681E"/>
    <w:rsid w:val="00507CB7"/>
    <w:rsid w:val="00510338"/>
    <w:rsid w:val="00511624"/>
    <w:rsid w:val="00523D96"/>
    <w:rsid w:val="00530922"/>
    <w:rsid w:val="00540E6D"/>
    <w:rsid w:val="00547F65"/>
    <w:rsid w:val="00563AED"/>
    <w:rsid w:val="005648A4"/>
    <w:rsid w:val="0057289F"/>
    <w:rsid w:val="0057415F"/>
    <w:rsid w:val="00577ADC"/>
    <w:rsid w:val="0058600D"/>
    <w:rsid w:val="00586891"/>
    <w:rsid w:val="005931ED"/>
    <w:rsid w:val="005965C6"/>
    <w:rsid w:val="005A2C12"/>
    <w:rsid w:val="005D34BC"/>
    <w:rsid w:val="005D7394"/>
    <w:rsid w:val="005F0313"/>
    <w:rsid w:val="005F571A"/>
    <w:rsid w:val="00602AD4"/>
    <w:rsid w:val="006067A0"/>
    <w:rsid w:val="00610CFA"/>
    <w:rsid w:val="00612170"/>
    <w:rsid w:val="00622EF3"/>
    <w:rsid w:val="00635931"/>
    <w:rsid w:val="00637424"/>
    <w:rsid w:val="006403F1"/>
    <w:rsid w:val="00647F73"/>
    <w:rsid w:val="00672827"/>
    <w:rsid w:val="00683069"/>
    <w:rsid w:val="00690712"/>
    <w:rsid w:val="00690C73"/>
    <w:rsid w:val="00694E33"/>
    <w:rsid w:val="0069568E"/>
    <w:rsid w:val="006A1AAA"/>
    <w:rsid w:val="006A2B23"/>
    <w:rsid w:val="006B266D"/>
    <w:rsid w:val="006B2997"/>
    <w:rsid w:val="006B4AE3"/>
    <w:rsid w:val="006B6049"/>
    <w:rsid w:val="006B70C5"/>
    <w:rsid w:val="006B7726"/>
    <w:rsid w:val="006C3040"/>
    <w:rsid w:val="006C62EA"/>
    <w:rsid w:val="006C762F"/>
    <w:rsid w:val="006D1759"/>
    <w:rsid w:val="006D18B8"/>
    <w:rsid w:val="006D6BF3"/>
    <w:rsid w:val="006E1607"/>
    <w:rsid w:val="006E43DC"/>
    <w:rsid w:val="006E69D8"/>
    <w:rsid w:val="006E75FE"/>
    <w:rsid w:val="00701E7B"/>
    <w:rsid w:val="00702E2A"/>
    <w:rsid w:val="007063CB"/>
    <w:rsid w:val="00707C09"/>
    <w:rsid w:val="00711F02"/>
    <w:rsid w:val="00724571"/>
    <w:rsid w:val="007306F6"/>
    <w:rsid w:val="00730D7D"/>
    <w:rsid w:val="007371AB"/>
    <w:rsid w:val="00737F7C"/>
    <w:rsid w:val="007430E9"/>
    <w:rsid w:val="00744E14"/>
    <w:rsid w:val="00750D26"/>
    <w:rsid w:val="00751DDE"/>
    <w:rsid w:val="007624F0"/>
    <w:rsid w:val="007656D5"/>
    <w:rsid w:val="00765FE4"/>
    <w:rsid w:val="00772561"/>
    <w:rsid w:val="0077594F"/>
    <w:rsid w:val="00795B0E"/>
    <w:rsid w:val="007A1A38"/>
    <w:rsid w:val="007A5B11"/>
    <w:rsid w:val="007A641D"/>
    <w:rsid w:val="007D0779"/>
    <w:rsid w:val="007D2FC8"/>
    <w:rsid w:val="007D7726"/>
    <w:rsid w:val="007E3969"/>
    <w:rsid w:val="007E3A87"/>
    <w:rsid w:val="007E46D7"/>
    <w:rsid w:val="007E6A7F"/>
    <w:rsid w:val="0080606B"/>
    <w:rsid w:val="00820E2B"/>
    <w:rsid w:val="00821D02"/>
    <w:rsid w:val="00822C53"/>
    <w:rsid w:val="008412E0"/>
    <w:rsid w:val="008552BD"/>
    <w:rsid w:val="00857B4B"/>
    <w:rsid w:val="00864A3E"/>
    <w:rsid w:val="008734B0"/>
    <w:rsid w:val="008827B1"/>
    <w:rsid w:val="008A3875"/>
    <w:rsid w:val="008B2FD1"/>
    <w:rsid w:val="008C2486"/>
    <w:rsid w:val="008D0306"/>
    <w:rsid w:val="008D220C"/>
    <w:rsid w:val="008E7A82"/>
    <w:rsid w:val="0090611F"/>
    <w:rsid w:val="009068C2"/>
    <w:rsid w:val="00912B11"/>
    <w:rsid w:val="009132BB"/>
    <w:rsid w:val="00916161"/>
    <w:rsid w:val="00933FCB"/>
    <w:rsid w:val="009365C9"/>
    <w:rsid w:val="009400C2"/>
    <w:rsid w:val="00942EA7"/>
    <w:rsid w:val="00944AA1"/>
    <w:rsid w:val="009556A7"/>
    <w:rsid w:val="009601A5"/>
    <w:rsid w:val="00961241"/>
    <w:rsid w:val="009666F1"/>
    <w:rsid w:val="00967AB1"/>
    <w:rsid w:val="00971D63"/>
    <w:rsid w:val="00986917"/>
    <w:rsid w:val="009B3BA1"/>
    <w:rsid w:val="009B734A"/>
    <w:rsid w:val="009B7F15"/>
    <w:rsid w:val="009C485D"/>
    <w:rsid w:val="009D0FB3"/>
    <w:rsid w:val="009D0FEC"/>
    <w:rsid w:val="009E5466"/>
    <w:rsid w:val="009E59B3"/>
    <w:rsid w:val="009F02EE"/>
    <w:rsid w:val="009F7228"/>
    <w:rsid w:val="00A114DC"/>
    <w:rsid w:val="00A14EDD"/>
    <w:rsid w:val="00A238C8"/>
    <w:rsid w:val="00A25AB1"/>
    <w:rsid w:val="00A44F48"/>
    <w:rsid w:val="00A504A3"/>
    <w:rsid w:val="00A73D93"/>
    <w:rsid w:val="00A840B9"/>
    <w:rsid w:val="00A90CB8"/>
    <w:rsid w:val="00A911B4"/>
    <w:rsid w:val="00A95204"/>
    <w:rsid w:val="00A979EA"/>
    <w:rsid w:val="00AA2A70"/>
    <w:rsid w:val="00AA7306"/>
    <w:rsid w:val="00AA7692"/>
    <w:rsid w:val="00AB428E"/>
    <w:rsid w:val="00AC28A0"/>
    <w:rsid w:val="00AC351B"/>
    <w:rsid w:val="00AC6252"/>
    <w:rsid w:val="00AC785C"/>
    <w:rsid w:val="00AD4DE1"/>
    <w:rsid w:val="00AD7F0E"/>
    <w:rsid w:val="00AD7FE6"/>
    <w:rsid w:val="00AF57DA"/>
    <w:rsid w:val="00AF63EA"/>
    <w:rsid w:val="00AF747B"/>
    <w:rsid w:val="00B0529F"/>
    <w:rsid w:val="00B10F47"/>
    <w:rsid w:val="00B140FA"/>
    <w:rsid w:val="00B16699"/>
    <w:rsid w:val="00B20EBC"/>
    <w:rsid w:val="00B25A85"/>
    <w:rsid w:val="00B311D5"/>
    <w:rsid w:val="00B36766"/>
    <w:rsid w:val="00B4485F"/>
    <w:rsid w:val="00B5430B"/>
    <w:rsid w:val="00B5595A"/>
    <w:rsid w:val="00B561DD"/>
    <w:rsid w:val="00B5660D"/>
    <w:rsid w:val="00B56886"/>
    <w:rsid w:val="00B6315A"/>
    <w:rsid w:val="00B6484F"/>
    <w:rsid w:val="00B744D2"/>
    <w:rsid w:val="00B76106"/>
    <w:rsid w:val="00B91749"/>
    <w:rsid w:val="00BA519E"/>
    <w:rsid w:val="00BB540F"/>
    <w:rsid w:val="00BE4760"/>
    <w:rsid w:val="00BF347C"/>
    <w:rsid w:val="00C02B57"/>
    <w:rsid w:val="00C1178E"/>
    <w:rsid w:val="00C1266E"/>
    <w:rsid w:val="00C226AD"/>
    <w:rsid w:val="00C320A0"/>
    <w:rsid w:val="00C3713A"/>
    <w:rsid w:val="00C4324F"/>
    <w:rsid w:val="00C55A28"/>
    <w:rsid w:val="00C562AB"/>
    <w:rsid w:val="00C62D98"/>
    <w:rsid w:val="00C707F8"/>
    <w:rsid w:val="00C73AA2"/>
    <w:rsid w:val="00C76E05"/>
    <w:rsid w:val="00C82A64"/>
    <w:rsid w:val="00C86779"/>
    <w:rsid w:val="00C87B8A"/>
    <w:rsid w:val="00C91C4F"/>
    <w:rsid w:val="00C925E4"/>
    <w:rsid w:val="00C97226"/>
    <w:rsid w:val="00CA21D3"/>
    <w:rsid w:val="00CA453E"/>
    <w:rsid w:val="00CB3687"/>
    <w:rsid w:val="00CB3C7F"/>
    <w:rsid w:val="00CC1FF8"/>
    <w:rsid w:val="00CD0054"/>
    <w:rsid w:val="00CE2734"/>
    <w:rsid w:val="00CE7F9D"/>
    <w:rsid w:val="00CF3D26"/>
    <w:rsid w:val="00D05A56"/>
    <w:rsid w:val="00D205CE"/>
    <w:rsid w:val="00D22FF5"/>
    <w:rsid w:val="00D3145B"/>
    <w:rsid w:val="00D52FED"/>
    <w:rsid w:val="00D53860"/>
    <w:rsid w:val="00D54D15"/>
    <w:rsid w:val="00D602DB"/>
    <w:rsid w:val="00D64946"/>
    <w:rsid w:val="00D64EF0"/>
    <w:rsid w:val="00D6786F"/>
    <w:rsid w:val="00D70E35"/>
    <w:rsid w:val="00D74920"/>
    <w:rsid w:val="00D756F9"/>
    <w:rsid w:val="00D8247E"/>
    <w:rsid w:val="00DB52C6"/>
    <w:rsid w:val="00DC1DC0"/>
    <w:rsid w:val="00DF452A"/>
    <w:rsid w:val="00E001A5"/>
    <w:rsid w:val="00E00321"/>
    <w:rsid w:val="00E129AB"/>
    <w:rsid w:val="00E12F79"/>
    <w:rsid w:val="00E31B91"/>
    <w:rsid w:val="00E36533"/>
    <w:rsid w:val="00E36C86"/>
    <w:rsid w:val="00E416C9"/>
    <w:rsid w:val="00E46785"/>
    <w:rsid w:val="00E47C67"/>
    <w:rsid w:val="00E54EDC"/>
    <w:rsid w:val="00E73905"/>
    <w:rsid w:val="00E82F8E"/>
    <w:rsid w:val="00E91F1C"/>
    <w:rsid w:val="00EA5041"/>
    <w:rsid w:val="00EB501A"/>
    <w:rsid w:val="00EB5CD5"/>
    <w:rsid w:val="00EC36BF"/>
    <w:rsid w:val="00EC650E"/>
    <w:rsid w:val="00EC77DF"/>
    <w:rsid w:val="00ED6274"/>
    <w:rsid w:val="00EE747D"/>
    <w:rsid w:val="00F115AB"/>
    <w:rsid w:val="00F13B85"/>
    <w:rsid w:val="00F14D0F"/>
    <w:rsid w:val="00F20E76"/>
    <w:rsid w:val="00F22306"/>
    <w:rsid w:val="00F236C6"/>
    <w:rsid w:val="00F24604"/>
    <w:rsid w:val="00F26BE4"/>
    <w:rsid w:val="00F271F8"/>
    <w:rsid w:val="00F406EE"/>
    <w:rsid w:val="00F47DF7"/>
    <w:rsid w:val="00F50DDE"/>
    <w:rsid w:val="00F631EB"/>
    <w:rsid w:val="00F66560"/>
    <w:rsid w:val="00F706EB"/>
    <w:rsid w:val="00F71B64"/>
    <w:rsid w:val="00F7402A"/>
    <w:rsid w:val="00F81380"/>
    <w:rsid w:val="00F834C0"/>
    <w:rsid w:val="00F857BE"/>
    <w:rsid w:val="00F90D3A"/>
    <w:rsid w:val="00F93F98"/>
    <w:rsid w:val="00F96A28"/>
    <w:rsid w:val="00FA562E"/>
    <w:rsid w:val="00FA598A"/>
    <w:rsid w:val="00FB2511"/>
    <w:rsid w:val="00FB597F"/>
    <w:rsid w:val="00FC4CDA"/>
    <w:rsid w:val="00FC664D"/>
    <w:rsid w:val="00FD29BB"/>
    <w:rsid w:val="00FE190D"/>
    <w:rsid w:val="00FF3C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3D5A42BB-4E1E-4108-AE73-E68731FB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2B57"/>
    <w:rPr>
      <w:rFonts w:cs="Times New Roman"/>
    </w:rPr>
  </w:style>
  <w:style w:type="paragraph" w:styleId="Nagwek1">
    <w:name w:val="heading 1"/>
    <w:basedOn w:val="Normalny"/>
    <w:next w:val="Normalny"/>
    <w:link w:val="Nagwek1Znak"/>
    <w:uiPriority w:val="9"/>
    <w:qFormat/>
    <w:rsid w:val="00750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1"/>
    <w:locked/>
    <w:rsid w:val="00A840B9"/>
    <w:rPr>
      <w:rFonts w:cs="Times New Roman"/>
    </w:rPr>
  </w:style>
  <w:style w:type="paragraph" w:styleId="Akapitzlist">
    <w:name w:val="List Paragraph"/>
    <w:aliases w:val="sw tekst,Adresat stanowisko,L1,Numerowanie,Akapit z listą BS,normalny tekst,CW_Lista,2 heading,A_wyliczenie,K-P_odwolanie,Akapit z listą5,maz_wyliczenie,opis dzialania"/>
    <w:basedOn w:val="Normalny"/>
    <w:link w:val="AkapitzlistZnak"/>
    <w:uiPriority w:val="34"/>
    <w:qFormat/>
    <w:rsid w:val="00E12F79"/>
    <w:pPr>
      <w:spacing w:after="200" w:line="276" w:lineRule="auto"/>
      <w:ind w:left="720"/>
      <w:contextualSpacing/>
    </w:pPr>
  </w:style>
  <w:style w:type="paragraph" w:customStyle="1" w:styleId="Default">
    <w:name w:val="Default"/>
    <w:rsid w:val="00E12F7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B56886"/>
    <w:pPr>
      <w:spacing w:after="0" w:line="240" w:lineRule="auto"/>
    </w:pPr>
    <w:rPr>
      <w:rFonts w:cs="Times New Roman"/>
    </w:rPr>
  </w:style>
  <w:style w:type="paragraph" w:customStyle="1" w:styleId="Standard">
    <w:name w:val="Standard"/>
    <w:basedOn w:val="Normalny"/>
    <w:qFormat/>
    <w:rsid w:val="00F71B64"/>
    <w:pPr>
      <w:widowControl w:val="0"/>
      <w:suppressAutoHyphens/>
      <w:autoSpaceDE w:val="0"/>
      <w:spacing w:after="0" w:line="240" w:lineRule="auto"/>
    </w:pPr>
    <w:rPr>
      <w:rFonts w:ascii="Times New Roman" w:eastAsia="NSimSun" w:hAnsi="Times New Roman"/>
      <w:sz w:val="24"/>
      <w:szCs w:val="20"/>
      <w:lang w:eastAsia="pl-PL"/>
    </w:rPr>
  </w:style>
  <w:style w:type="character" w:customStyle="1" w:styleId="AkapitzlistZnak">
    <w:name w:val="Akapit z listą Znak"/>
    <w:aliases w:val="sw tekst Znak,Adresat stanowisko Znak,L1 Znak,Numerowanie Znak,Akapit z listą BS Znak,normalny tekst Znak,CW_Lista Znak,2 heading Znak,A_wyliczenie Znak,K-P_odwolanie Znak,Akapit z listą5 Znak,maz_wyliczenie Znak,opis dzialania Znak"/>
    <w:link w:val="Akapitzlist"/>
    <w:uiPriority w:val="34"/>
    <w:qFormat/>
    <w:locked/>
    <w:rsid w:val="003D116B"/>
  </w:style>
  <w:style w:type="paragraph" w:styleId="Tekstpodstawowywcity3">
    <w:name w:val="Body Text Indent 3"/>
    <w:basedOn w:val="Normalny"/>
    <w:link w:val="Tekstpodstawowywcity3Znak"/>
    <w:uiPriority w:val="99"/>
    <w:rsid w:val="00FF3C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FF3C34"/>
    <w:rPr>
      <w:rFonts w:cs="Times New Roman"/>
      <w:sz w:val="16"/>
      <w:szCs w:val="16"/>
    </w:rPr>
  </w:style>
  <w:style w:type="paragraph" w:styleId="Tekstprzypisukocowego">
    <w:name w:val="endnote text"/>
    <w:basedOn w:val="Normalny"/>
    <w:link w:val="TekstprzypisukocowegoZnak"/>
    <w:uiPriority w:val="99"/>
    <w:rsid w:val="00CA21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CA21D3"/>
    <w:rPr>
      <w:rFonts w:cs="Times New Roman"/>
      <w:sz w:val="20"/>
      <w:szCs w:val="20"/>
    </w:rPr>
  </w:style>
  <w:style w:type="character" w:styleId="Odwoanieprzypisukocowego">
    <w:name w:val="endnote reference"/>
    <w:basedOn w:val="Domylnaczcionkaakapitu"/>
    <w:uiPriority w:val="99"/>
    <w:rsid w:val="00CA21D3"/>
    <w:rPr>
      <w:rFonts w:cs="Times New Roman"/>
      <w:vertAlign w:val="superscript"/>
    </w:rPr>
  </w:style>
  <w:style w:type="character" w:customStyle="1" w:styleId="Nagwek1Znak">
    <w:name w:val="Nagłówek 1 Znak"/>
    <w:basedOn w:val="Domylnaczcionkaakapitu"/>
    <w:link w:val="Nagwek1"/>
    <w:uiPriority w:val="9"/>
    <w:rsid w:val="00750D26"/>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rsid w:val="003F2FD8"/>
    <w:rPr>
      <w:sz w:val="16"/>
      <w:szCs w:val="16"/>
    </w:rPr>
  </w:style>
  <w:style w:type="paragraph" w:styleId="Tekstkomentarza">
    <w:name w:val="annotation text"/>
    <w:basedOn w:val="Normalny"/>
    <w:link w:val="TekstkomentarzaZnak"/>
    <w:uiPriority w:val="99"/>
    <w:rsid w:val="003F2FD8"/>
    <w:pPr>
      <w:spacing w:line="240" w:lineRule="auto"/>
    </w:pPr>
    <w:rPr>
      <w:sz w:val="20"/>
      <w:szCs w:val="20"/>
    </w:rPr>
  </w:style>
  <w:style w:type="character" w:customStyle="1" w:styleId="TekstkomentarzaZnak">
    <w:name w:val="Tekst komentarza Znak"/>
    <w:basedOn w:val="Domylnaczcionkaakapitu"/>
    <w:link w:val="Tekstkomentarza"/>
    <w:uiPriority w:val="99"/>
    <w:rsid w:val="003F2FD8"/>
    <w:rPr>
      <w:rFonts w:cs="Times New Roman"/>
      <w:sz w:val="20"/>
      <w:szCs w:val="20"/>
    </w:rPr>
  </w:style>
  <w:style w:type="paragraph" w:styleId="Tematkomentarza">
    <w:name w:val="annotation subject"/>
    <w:basedOn w:val="Tekstkomentarza"/>
    <w:next w:val="Tekstkomentarza"/>
    <w:link w:val="TematkomentarzaZnak"/>
    <w:uiPriority w:val="99"/>
    <w:rsid w:val="003F2FD8"/>
    <w:rPr>
      <w:b/>
      <w:bCs/>
    </w:rPr>
  </w:style>
  <w:style w:type="character" w:customStyle="1" w:styleId="TematkomentarzaZnak">
    <w:name w:val="Temat komentarza Znak"/>
    <w:basedOn w:val="TekstkomentarzaZnak"/>
    <w:link w:val="Tematkomentarza"/>
    <w:uiPriority w:val="99"/>
    <w:rsid w:val="003F2FD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809631">
      <w:marLeft w:val="0"/>
      <w:marRight w:val="0"/>
      <w:marTop w:val="0"/>
      <w:marBottom w:val="0"/>
      <w:divBdr>
        <w:top w:val="none" w:sz="0" w:space="0" w:color="auto"/>
        <w:left w:val="none" w:sz="0" w:space="0" w:color="auto"/>
        <w:bottom w:val="none" w:sz="0" w:space="0" w:color="auto"/>
        <w:right w:val="none" w:sz="0" w:space="0" w:color="auto"/>
      </w:divBdr>
    </w:div>
    <w:div w:id="1089809632">
      <w:marLeft w:val="0"/>
      <w:marRight w:val="0"/>
      <w:marTop w:val="0"/>
      <w:marBottom w:val="0"/>
      <w:divBdr>
        <w:top w:val="none" w:sz="0" w:space="0" w:color="auto"/>
        <w:left w:val="none" w:sz="0" w:space="0" w:color="auto"/>
        <w:bottom w:val="none" w:sz="0" w:space="0" w:color="auto"/>
        <w:right w:val="none" w:sz="0" w:space="0" w:color="auto"/>
      </w:divBdr>
    </w:div>
    <w:div w:id="1089809633">
      <w:marLeft w:val="0"/>
      <w:marRight w:val="0"/>
      <w:marTop w:val="0"/>
      <w:marBottom w:val="0"/>
      <w:divBdr>
        <w:top w:val="none" w:sz="0" w:space="0" w:color="auto"/>
        <w:left w:val="none" w:sz="0" w:space="0" w:color="auto"/>
        <w:bottom w:val="none" w:sz="0" w:space="0" w:color="auto"/>
        <w:right w:val="none" w:sz="0" w:space="0" w:color="auto"/>
      </w:divBdr>
    </w:div>
    <w:div w:id="1089809634">
      <w:marLeft w:val="0"/>
      <w:marRight w:val="0"/>
      <w:marTop w:val="0"/>
      <w:marBottom w:val="0"/>
      <w:divBdr>
        <w:top w:val="none" w:sz="0" w:space="0" w:color="auto"/>
        <w:left w:val="none" w:sz="0" w:space="0" w:color="auto"/>
        <w:bottom w:val="none" w:sz="0" w:space="0" w:color="auto"/>
        <w:right w:val="none" w:sz="0" w:space="0" w:color="auto"/>
      </w:divBdr>
    </w:div>
    <w:div w:id="1089809635">
      <w:marLeft w:val="0"/>
      <w:marRight w:val="0"/>
      <w:marTop w:val="0"/>
      <w:marBottom w:val="0"/>
      <w:divBdr>
        <w:top w:val="none" w:sz="0" w:space="0" w:color="auto"/>
        <w:left w:val="none" w:sz="0" w:space="0" w:color="auto"/>
        <w:bottom w:val="none" w:sz="0" w:space="0" w:color="auto"/>
        <w:right w:val="none" w:sz="0" w:space="0" w:color="auto"/>
      </w:divBdr>
    </w:div>
    <w:div w:id="1089809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medica.pl/images/Katalogi/ulotka%20A4%202017.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k.rogiewicz@spsk2-szczecin.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40.emf"/><Relationship Id="rId5" Type="http://schemas.openxmlformats.org/officeDocument/2006/relationships/hyperlink" Target="mailto:k.rogiewicz@spsk2-szczecin.pl" TargetMode="External"/><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2D7E2-F000-4C8A-A92D-B1480289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1802</Words>
  <Characters>12747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Katarzyna Rogiewicz</cp:lastModifiedBy>
  <cp:revision>9</cp:revision>
  <cp:lastPrinted>2022-05-17T12:27:00Z</cp:lastPrinted>
  <dcterms:created xsi:type="dcterms:W3CDTF">2022-05-13T12:43:00Z</dcterms:created>
  <dcterms:modified xsi:type="dcterms:W3CDTF">2022-05-17T12:27:00Z</dcterms:modified>
</cp:coreProperties>
</file>