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30" w:rsidRPr="00DA057C" w:rsidRDefault="00620D8F" w:rsidP="008735DD">
      <w:pPr>
        <w:ind w:right="-428"/>
        <w:rPr>
          <w:rFonts w:ascii="Arial" w:hAnsi="Arial" w:cs="Arial"/>
          <w:i/>
        </w:rPr>
      </w:pPr>
      <w:r w:rsidRPr="007716B8">
        <w:rPr>
          <w:rFonts w:ascii="Arial" w:hAnsi="Arial" w:cs="Arial"/>
          <w:i/>
        </w:rPr>
        <w:t>Nr sprawy: WZP.271.</w:t>
      </w:r>
      <w:r>
        <w:rPr>
          <w:rFonts w:ascii="Arial" w:hAnsi="Arial" w:cs="Arial"/>
          <w:i/>
        </w:rPr>
        <w:t>16</w:t>
      </w:r>
      <w:r w:rsidRPr="007716B8">
        <w:rPr>
          <w:rFonts w:ascii="Arial" w:hAnsi="Arial" w:cs="Arial"/>
          <w:i/>
        </w:rPr>
        <w:t>.2021.E</w:t>
      </w:r>
      <w:r w:rsidR="008735DD">
        <w:rPr>
          <w:rFonts w:ascii="Arial" w:hAnsi="Arial" w:cs="Arial"/>
          <w:i/>
        </w:rPr>
        <w:tab/>
      </w:r>
      <w:r w:rsidR="008735DD">
        <w:rPr>
          <w:rFonts w:ascii="Arial" w:hAnsi="Arial" w:cs="Arial"/>
          <w:i/>
        </w:rPr>
        <w:tab/>
      </w:r>
      <w:r w:rsidR="008735DD">
        <w:rPr>
          <w:rFonts w:ascii="Arial" w:hAnsi="Arial" w:cs="Arial"/>
          <w:i/>
        </w:rPr>
        <w:tab/>
      </w:r>
      <w:r w:rsidR="008735DD">
        <w:rPr>
          <w:rFonts w:ascii="Arial" w:hAnsi="Arial" w:cs="Arial"/>
          <w:i/>
        </w:rPr>
        <w:tab/>
      </w:r>
      <w:r w:rsidR="008735DD">
        <w:rPr>
          <w:rFonts w:ascii="Arial" w:hAnsi="Arial" w:cs="Arial"/>
          <w:i/>
        </w:rPr>
        <w:tab/>
      </w:r>
      <w:r w:rsidR="008735DD">
        <w:rPr>
          <w:rFonts w:ascii="Arial" w:hAnsi="Arial" w:cs="Arial"/>
          <w:i/>
        </w:rPr>
        <w:tab/>
      </w:r>
      <w:r w:rsidR="003710A2" w:rsidRPr="00DA057C">
        <w:rPr>
          <w:rFonts w:ascii="Arial" w:hAnsi="Arial" w:cs="Arial"/>
          <w:i/>
        </w:rPr>
        <w:t>Załącznik nr 2 do oferty</w:t>
      </w:r>
    </w:p>
    <w:p w:rsidR="003710A2" w:rsidRPr="003710A2" w:rsidRDefault="003710A2" w:rsidP="003710A2">
      <w:pPr>
        <w:spacing w:after="20"/>
        <w:rPr>
          <w:rFonts w:ascii="Arial" w:hAnsi="Arial" w:cs="Arial"/>
        </w:rPr>
      </w:pPr>
    </w:p>
    <w:p w:rsidR="000E4F58" w:rsidRDefault="000E4F58" w:rsidP="003710A2">
      <w:pPr>
        <w:spacing w:after="20"/>
        <w:ind w:left="9"/>
        <w:jc w:val="center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</w:p>
    <w:p w:rsidR="003710A2" w:rsidRPr="003710A2" w:rsidRDefault="003710A2" w:rsidP="003710A2">
      <w:pPr>
        <w:spacing w:after="20"/>
        <w:ind w:left="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10A2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Funkcjonalność – pakiet I</w:t>
      </w:r>
    </w:p>
    <w:p w:rsidR="003710A2" w:rsidRPr="003710A2" w:rsidRDefault="003710A2" w:rsidP="003710A2">
      <w:pPr>
        <w:spacing w:after="20"/>
        <w:ind w:left="9"/>
        <w:rPr>
          <w:rFonts w:ascii="Arial" w:hAnsi="Arial" w:cs="Arial"/>
        </w:rPr>
      </w:pPr>
    </w:p>
    <w:p w:rsidR="003710A2" w:rsidRPr="003710A2" w:rsidRDefault="003710A2" w:rsidP="003710A2">
      <w:pPr>
        <w:spacing w:after="20"/>
        <w:ind w:left="9"/>
        <w:rPr>
          <w:rFonts w:ascii="Arial" w:hAnsi="Arial" w:cs="Arial"/>
        </w:rPr>
      </w:pPr>
      <w:r>
        <w:rPr>
          <w:rFonts w:ascii="Arial" w:hAnsi="Arial" w:cs="Arial"/>
        </w:rPr>
        <w:t>W kryterium „Funkcjonalność” o</w:t>
      </w:r>
      <w:r w:rsidRPr="003710A2">
        <w:rPr>
          <w:rFonts w:ascii="Arial" w:hAnsi="Arial" w:cs="Arial"/>
        </w:rPr>
        <w:t>cenie podlega</w:t>
      </w:r>
      <w:r>
        <w:rPr>
          <w:rFonts w:ascii="Arial" w:hAnsi="Arial" w:cs="Arial"/>
        </w:rPr>
        <w:t>ją</w:t>
      </w:r>
      <w:r w:rsidRPr="003710A2">
        <w:rPr>
          <w:rFonts w:ascii="Arial" w:hAnsi="Arial" w:cs="Arial"/>
        </w:rPr>
        <w:t xml:space="preserve"> następujące parametry mające bezpośredni wpływ na funkcjonalność i możliwo</w:t>
      </w:r>
      <w:r>
        <w:rPr>
          <w:rFonts w:ascii="Arial" w:hAnsi="Arial" w:cs="Arial"/>
        </w:rPr>
        <w:t>ści systemu elektroakustycznego</w:t>
      </w:r>
      <w:r w:rsidRPr="003710A2">
        <w:rPr>
          <w:rFonts w:ascii="Arial" w:hAnsi="Arial" w:cs="Arial"/>
        </w:rPr>
        <w:t>:</w:t>
      </w:r>
    </w:p>
    <w:p w:rsidR="003710A2" w:rsidRPr="003710A2" w:rsidRDefault="003710A2" w:rsidP="003710A2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3710A2">
        <w:rPr>
          <w:rFonts w:ascii="Arial" w:hAnsi="Arial" w:cs="Arial"/>
        </w:rPr>
        <w:t>technologia</w:t>
      </w:r>
      <w:proofErr w:type="gramEnd"/>
      <w:r w:rsidRPr="003710A2">
        <w:rPr>
          <w:rFonts w:ascii="Arial" w:hAnsi="Arial" w:cs="Arial"/>
        </w:rPr>
        <w:t xml:space="preserve"> zasilania zestawów (pasywne, aktywne), </w:t>
      </w:r>
    </w:p>
    <w:p w:rsidR="003710A2" w:rsidRPr="003710A2" w:rsidRDefault="003710A2" w:rsidP="003710A2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3710A2">
        <w:rPr>
          <w:rFonts w:ascii="Arial" w:hAnsi="Arial" w:cs="Arial"/>
        </w:rPr>
        <w:t>rozwiązanie</w:t>
      </w:r>
      <w:proofErr w:type="gramEnd"/>
      <w:r w:rsidRPr="003710A2">
        <w:rPr>
          <w:rFonts w:ascii="Arial" w:hAnsi="Arial" w:cs="Arial"/>
        </w:rPr>
        <w:t xml:space="preserve"> podziału sygnałów do poszczególnych przetworników wchodzących w skład zestawów głośnikowych, </w:t>
      </w:r>
    </w:p>
    <w:p w:rsidR="003710A2" w:rsidRPr="003710A2" w:rsidRDefault="003710A2" w:rsidP="003710A2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3710A2">
        <w:rPr>
          <w:rFonts w:ascii="Arial" w:hAnsi="Arial" w:cs="Arial"/>
        </w:rPr>
        <w:t>charakterystyka</w:t>
      </w:r>
      <w:proofErr w:type="gramEnd"/>
      <w:r w:rsidRPr="003710A2">
        <w:rPr>
          <w:rFonts w:ascii="Arial" w:hAnsi="Arial" w:cs="Arial"/>
        </w:rPr>
        <w:t xml:space="preserve"> odpowiedzi fazowej, </w:t>
      </w:r>
    </w:p>
    <w:p w:rsidR="003710A2" w:rsidRPr="003710A2" w:rsidRDefault="003710A2" w:rsidP="003710A2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3710A2">
        <w:rPr>
          <w:rFonts w:ascii="Arial" w:hAnsi="Arial" w:cs="Arial"/>
        </w:rPr>
        <w:t>opóźnienie</w:t>
      </w:r>
      <w:proofErr w:type="gramEnd"/>
      <w:r w:rsidRPr="003710A2">
        <w:rPr>
          <w:rFonts w:ascii="Arial" w:hAnsi="Arial" w:cs="Arial"/>
        </w:rPr>
        <w:t xml:space="preserve"> toru DSP,</w:t>
      </w:r>
    </w:p>
    <w:p w:rsidR="003710A2" w:rsidRPr="003710A2" w:rsidRDefault="003710A2" w:rsidP="003710A2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3710A2">
        <w:rPr>
          <w:rFonts w:ascii="Arial" w:hAnsi="Arial" w:cs="Arial"/>
        </w:rPr>
        <w:t>parametry</w:t>
      </w:r>
      <w:proofErr w:type="gramEnd"/>
      <w:r w:rsidRPr="003710A2">
        <w:rPr>
          <w:rFonts w:ascii="Arial" w:hAnsi="Arial" w:cs="Arial"/>
        </w:rPr>
        <w:t xml:space="preserve"> matrycy sygnałowej,</w:t>
      </w:r>
    </w:p>
    <w:p w:rsidR="003710A2" w:rsidRPr="003710A2" w:rsidRDefault="003710A2" w:rsidP="003710A2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3710A2">
        <w:rPr>
          <w:rFonts w:ascii="Arial" w:hAnsi="Arial" w:cs="Arial"/>
        </w:rPr>
        <w:t>parametry</w:t>
      </w:r>
      <w:proofErr w:type="gramEnd"/>
      <w:r w:rsidRPr="003710A2">
        <w:rPr>
          <w:rFonts w:ascii="Arial" w:hAnsi="Arial" w:cs="Arial"/>
        </w:rPr>
        <w:t xml:space="preserve"> toru sygnałowego wzmacniaczy lub procesora sygnałowego,</w:t>
      </w:r>
    </w:p>
    <w:p w:rsidR="003710A2" w:rsidRPr="003710A2" w:rsidRDefault="003710A2" w:rsidP="003710A2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3710A2">
        <w:rPr>
          <w:rFonts w:ascii="Arial" w:hAnsi="Arial" w:cs="Arial"/>
        </w:rPr>
        <w:t>specyfikacja</w:t>
      </w:r>
      <w:proofErr w:type="gramEnd"/>
      <w:r w:rsidRPr="003710A2">
        <w:rPr>
          <w:rFonts w:ascii="Arial" w:hAnsi="Arial" w:cs="Arial"/>
        </w:rPr>
        <w:t xml:space="preserve"> rozwiązań technologicznych zastosowanych w zestawach głośnikowych</w:t>
      </w:r>
    </w:p>
    <w:p w:rsidR="003710A2" w:rsidRDefault="003710A2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4394"/>
        <w:gridCol w:w="1560"/>
        <w:gridCol w:w="2835"/>
      </w:tblGrid>
      <w:tr w:rsidR="006137D9" w:rsidTr="006137D9">
        <w:trPr>
          <w:trHeight w:val="737"/>
        </w:trPr>
        <w:tc>
          <w:tcPr>
            <w:tcW w:w="704" w:type="dxa"/>
            <w:vAlign w:val="center"/>
          </w:tcPr>
          <w:p w:rsidR="006137D9" w:rsidRDefault="006137D9" w:rsidP="003710A2">
            <w:pPr>
              <w:jc w:val="center"/>
            </w:pPr>
            <w:proofErr w:type="gramStart"/>
            <w:r>
              <w:t>l</w:t>
            </w:r>
            <w:proofErr w:type="gramEnd"/>
            <w:r>
              <w:t>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4394" w:type="dxa"/>
            <w:vAlign w:val="center"/>
          </w:tcPr>
          <w:p w:rsidR="006137D9" w:rsidRDefault="006137D9" w:rsidP="003710A2">
            <w:pPr>
              <w:jc w:val="center"/>
            </w:pPr>
            <w:r>
              <w:t>Opis funkcjonalności</w:t>
            </w:r>
          </w:p>
        </w:tc>
        <w:tc>
          <w:tcPr>
            <w:tcW w:w="1560" w:type="dxa"/>
            <w:vAlign w:val="center"/>
          </w:tcPr>
          <w:p w:rsidR="006137D9" w:rsidRDefault="00BC6D52" w:rsidP="003710A2">
            <w:pPr>
              <w:jc w:val="center"/>
            </w:pPr>
            <w:proofErr w:type="gramStart"/>
            <w:r>
              <w:t>s</w:t>
            </w:r>
            <w:r w:rsidR="006137D9">
              <w:t>pełnia</w:t>
            </w:r>
            <w:proofErr w:type="gramEnd"/>
            <w:r w:rsidR="006137D9">
              <w:t>/nie spełnia</w:t>
            </w:r>
          </w:p>
        </w:tc>
        <w:tc>
          <w:tcPr>
            <w:tcW w:w="2835" w:type="dxa"/>
            <w:vAlign w:val="center"/>
          </w:tcPr>
          <w:p w:rsidR="006137D9" w:rsidRDefault="006137D9" w:rsidP="006137D9">
            <w:pPr>
              <w:jc w:val="center"/>
            </w:pPr>
            <w:r>
              <w:t>Sposób przyznawania punktów</w:t>
            </w:r>
          </w:p>
        </w:tc>
      </w:tr>
      <w:tr w:rsidR="00BE40C5" w:rsidTr="00BE40C5">
        <w:trPr>
          <w:trHeight w:val="284"/>
        </w:trPr>
        <w:tc>
          <w:tcPr>
            <w:tcW w:w="704" w:type="dxa"/>
            <w:vAlign w:val="center"/>
          </w:tcPr>
          <w:p w:rsidR="00BE40C5" w:rsidRDefault="00BE40C5" w:rsidP="003710A2">
            <w:pPr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BE40C5" w:rsidRDefault="00BE40C5" w:rsidP="003710A2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BE40C5" w:rsidRDefault="00BE40C5" w:rsidP="003710A2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BE40C5" w:rsidRDefault="00BE40C5" w:rsidP="006137D9">
            <w:pPr>
              <w:jc w:val="center"/>
            </w:pPr>
            <w:r>
              <w:t>4</w:t>
            </w:r>
          </w:p>
        </w:tc>
      </w:tr>
      <w:tr w:rsidR="006137D9" w:rsidTr="006137D9">
        <w:trPr>
          <w:trHeight w:val="737"/>
        </w:trPr>
        <w:tc>
          <w:tcPr>
            <w:tcW w:w="704" w:type="dxa"/>
            <w:vAlign w:val="center"/>
          </w:tcPr>
          <w:p w:rsidR="006137D9" w:rsidRDefault="006137D9" w:rsidP="003710A2">
            <w:pPr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6137D9" w:rsidRPr="003710A2" w:rsidRDefault="006137D9" w:rsidP="006137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0A2">
              <w:rPr>
                <w:rFonts w:ascii="Arial" w:hAnsi="Arial" w:cs="Arial"/>
                <w:sz w:val="20"/>
                <w:szCs w:val="20"/>
              </w:rPr>
              <w:t>System elektroakustyczny aktywny - to jest taki, w którym wszystkie zestawy głośnikowe wyposażone są w indywidualne wzmacniacze mocy (takich w których wzmacniacz mocy, układ podziałów pasm, zabezpieczenia, znajdują się w obudowie zestawu głośnikowego).</w:t>
            </w:r>
          </w:p>
        </w:tc>
        <w:tc>
          <w:tcPr>
            <w:tcW w:w="1560" w:type="dxa"/>
            <w:vAlign w:val="center"/>
          </w:tcPr>
          <w:p w:rsidR="006137D9" w:rsidRDefault="006137D9" w:rsidP="00BC6D52">
            <w:pPr>
              <w:jc w:val="center"/>
            </w:pPr>
            <w:r>
              <w:t>*</w:t>
            </w:r>
            <w:r w:rsidR="00BC6D52">
              <w:t>s</w:t>
            </w:r>
            <w:r>
              <w:t>pełnia/</w:t>
            </w:r>
            <w:r w:rsidR="00DA5347">
              <w:br/>
            </w:r>
            <w:r>
              <w:t>nie spełnia</w:t>
            </w:r>
          </w:p>
        </w:tc>
        <w:tc>
          <w:tcPr>
            <w:tcW w:w="2835" w:type="dxa"/>
            <w:vAlign w:val="center"/>
          </w:tcPr>
          <w:p w:rsidR="006137D9" w:rsidRPr="006D4FE1" w:rsidRDefault="00AD140A" w:rsidP="00BE40C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</w:t>
            </w:r>
            <w:r w:rsidR="006137D9" w:rsidRPr="006D4FE1">
              <w:rPr>
                <w:rFonts w:ascii="Arial" w:hAnsi="Arial" w:cs="Arial"/>
                <w:sz w:val="18"/>
                <w:szCs w:val="18"/>
              </w:rPr>
              <w:t xml:space="preserve"> zaoferowani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137D9" w:rsidRPr="006D4FE1">
              <w:rPr>
                <w:rFonts w:ascii="Arial" w:hAnsi="Arial" w:cs="Arial"/>
                <w:sz w:val="18"/>
                <w:szCs w:val="18"/>
              </w:rPr>
              <w:t xml:space="preserve"> systemu</w:t>
            </w:r>
            <w:r w:rsidR="00BE40C5">
              <w:rPr>
                <w:rFonts w:ascii="Arial" w:hAnsi="Arial" w:cs="Arial"/>
                <w:sz w:val="18"/>
                <w:szCs w:val="18"/>
              </w:rPr>
              <w:t xml:space="preserve"> opisanego w kol. 2, </w:t>
            </w:r>
            <w:r w:rsidR="006137D9" w:rsidRPr="006D4FE1">
              <w:rPr>
                <w:rFonts w:ascii="Arial" w:hAnsi="Arial" w:cs="Arial"/>
                <w:sz w:val="18"/>
                <w:szCs w:val="18"/>
              </w:rPr>
              <w:t xml:space="preserve">oferta otrzyma </w:t>
            </w:r>
            <w:r w:rsidR="006137D9" w:rsidRPr="006D4FE1">
              <w:rPr>
                <w:rFonts w:ascii="Arial" w:hAnsi="Arial" w:cs="Arial"/>
                <w:b/>
                <w:sz w:val="18"/>
                <w:szCs w:val="18"/>
              </w:rPr>
              <w:t>30 punktów</w:t>
            </w:r>
            <w:r w:rsidR="006137D9" w:rsidRPr="006D4FE1">
              <w:rPr>
                <w:rFonts w:ascii="Arial" w:hAnsi="Arial" w:cs="Arial"/>
                <w:sz w:val="18"/>
                <w:szCs w:val="18"/>
              </w:rPr>
              <w:t xml:space="preserve">. W przypadku zaoferowania innego systemu 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(ale zgodnego z OPZ</w:t>
            </w:r>
            <w:r w:rsidR="00BC6D52">
              <w:rPr>
                <w:rFonts w:ascii="Arial" w:hAnsi="Arial" w:cs="Arial"/>
                <w:sz w:val="18"/>
                <w:szCs w:val="18"/>
              </w:rPr>
              <w:t xml:space="preserve"> i pozostałymi załącznikami do SWZ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)</w:t>
            </w:r>
            <w:r w:rsidR="00BC6D52">
              <w:rPr>
                <w:rFonts w:ascii="Arial" w:hAnsi="Arial" w:cs="Arial"/>
                <w:sz w:val="18"/>
                <w:szCs w:val="18"/>
              </w:rPr>
              <w:t>,</w:t>
            </w:r>
            <w:r w:rsidR="006137D9" w:rsidRPr="006D4FE1">
              <w:rPr>
                <w:rFonts w:ascii="Arial" w:hAnsi="Arial" w:cs="Arial"/>
                <w:sz w:val="18"/>
                <w:szCs w:val="18"/>
              </w:rPr>
              <w:t xml:space="preserve"> oferta nie otrzyma punktów</w:t>
            </w:r>
            <w:r w:rsidR="00886216">
              <w:rPr>
                <w:rFonts w:ascii="Arial" w:hAnsi="Arial" w:cs="Arial"/>
                <w:sz w:val="18"/>
                <w:szCs w:val="18"/>
              </w:rPr>
              <w:t xml:space="preserve"> w tej pozycji</w:t>
            </w:r>
          </w:p>
        </w:tc>
      </w:tr>
      <w:tr w:rsidR="006137D9" w:rsidTr="006137D9">
        <w:trPr>
          <w:trHeight w:val="737"/>
        </w:trPr>
        <w:tc>
          <w:tcPr>
            <w:tcW w:w="704" w:type="dxa"/>
            <w:vAlign w:val="center"/>
          </w:tcPr>
          <w:p w:rsidR="006137D9" w:rsidRDefault="006137D9" w:rsidP="003710A2">
            <w:pPr>
              <w:jc w:val="center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6137D9" w:rsidRPr="003710A2" w:rsidRDefault="006137D9" w:rsidP="00371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0A2">
              <w:rPr>
                <w:rFonts w:ascii="Arial" w:hAnsi="Arial" w:cs="Arial"/>
                <w:sz w:val="20"/>
                <w:szCs w:val="20"/>
              </w:rPr>
              <w:t xml:space="preserve">Charakterystyka odpowiedzi fazowej w paśmie 120 HZ — 16 kHz z odchyłem maksymalnym do +/- 50 stopni. </w:t>
            </w:r>
          </w:p>
        </w:tc>
        <w:tc>
          <w:tcPr>
            <w:tcW w:w="1560" w:type="dxa"/>
            <w:vAlign w:val="center"/>
          </w:tcPr>
          <w:p w:rsidR="006137D9" w:rsidRDefault="006137D9" w:rsidP="00BC6D52">
            <w:pPr>
              <w:jc w:val="center"/>
            </w:pPr>
            <w:r>
              <w:t>*</w:t>
            </w:r>
            <w:r w:rsidR="00BC6D52">
              <w:t>s</w:t>
            </w:r>
            <w:r>
              <w:t>pełnia/</w:t>
            </w:r>
            <w:r w:rsidR="00DA5347">
              <w:br/>
            </w:r>
            <w:r>
              <w:t>nie spełnia</w:t>
            </w:r>
          </w:p>
        </w:tc>
        <w:tc>
          <w:tcPr>
            <w:tcW w:w="2835" w:type="dxa"/>
            <w:vAlign w:val="center"/>
          </w:tcPr>
          <w:p w:rsidR="006137D9" w:rsidRPr="006D4FE1" w:rsidRDefault="006137D9" w:rsidP="000E4F58">
            <w:pPr>
              <w:jc w:val="center"/>
              <w:rPr>
                <w:sz w:val="18"/>
                <w:szCs w:val="18"/>
              </w:rPr>
            </w:pPr>
            <w:r w:rsidRPr="006D4FE1">
              <w:rPr>
                <w:rFonts w:ascii="Arial" w:hAnsi="Arial" w:cs="Arial"/>
                <w:sz w:val="18"/>
                <w:szCs w:val="18"/>
              </w:rPr>
              <w:t xml:space="preserve">Charakterystyka fazowa mieszcząca się w opisanym zakresie otrzyma </w:t>
            </w:r>
            <w:r w:rsidRPr="006D4FE1">
              <w:rPr>
                <w:rFonts w:ascii="Arial" w:hAnsi="Arial" w:cs="Arial"/>
                <w:b/>
                <w:sz w:val="18"/>
                <w:szCs w:val="18"/>
              </w:rPr>
              <w:t>20 punktów</w:t>
            </w:r>
            <w:r w:rsidRPr="006D4FE1">
              <w:rPr>
                <w:rFonts w:ascii="Arial" w:hAnsi="Arial" w:cs="Arial"/>
                <w:sz w:val="18"/>
                <w:szCs w:val="18"/>
              </w:rPr>
              <w:t>. Charakterystyka fazowa mieszcząca się poza wymaganym zakresem nie otrzyma punktów</w:t>
            </w:r>
            <w:r w:rsidR="008862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216">
              <w:rPr>
                <w:rFonts w:ascii="Arial" w:hAnsi="Arial" w:cs="Arial"/>
                <w:sz w:val="18"/>
                <w:szCs w:val="18"/>
              </w:rPr>
              <w:t>w tej pozycji</w:t>
            </w:r>
            <w:r w:rsidRPr="006D4F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37D9" w:rsidTr="006137D9">
        <w:trPr>
          <w:trHeight w:val="737"/>
        </w:trPr>
        <w:tc>
          <w:tcPr>
            <w:tcW w:w="704" w:type="dxa"/>
            <w:vAlign w:val="center"/>
          </w:tcPr>
          <w:p w:rsidR="006137D9" w:rsidRDefault="006137D9" w:rsidP="003710A2">
            <w:pPr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6137D9" w:rsidRDefault="006137D9" w:rsidP="00371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0A2">
              <w:rPr>
                <w:rFonts w:ascii="Arial" w:hAnsi="Arial" w:cs="Arial"/>
                <w:sz w:val="20"/>
                <w:szCs w:val="20"/>
              </w:rPr>
              <w:t xml:space="preserve">Podział pasma w zestawach głośnikowych szerokopasmowych gron głównych. </w:t>
            </w:r>
          </w:p>
          <w:p w:rsidR="006137D9" w:rsidRPr="003710A2" w:rsidRDefault="006D4FE1" w:rsidP="006D4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137D9" w:rsidRPr="003710A2">
              <w:rPr>
                <w:rFonts w:ascii="Arial" w:hAnsi="Arial" w:cs="Arial"/>
                <w:sz w:val="20"/>
                <w:szCs w:val="20"/>
              </w:rPr>
              <w:t>estaw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6137D9" w:rsidRPr="003710A2">
              <w:rPr>
                <w:rFonts w:ascii="Arial" w:hAnsi="Arial" w:cs="Arial"/>
                <w:sz w:val="20"/>
                <w:szCs w:val="20"/>
              </w:rPr>
              <w:t xml:space="preserve"> głośnikow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137D9" w:rsidRPr="003710A2">
              <w:rPr>
                <w:rFonts w:ascii="Arial" w:hAnsi="Arial" w:cs="Arial"/>
                <w:sz w:val="20"/>
                <w:szCs w:val="20"/>
              </w:rPr>
              <w:t xml:space="preserve"> o aktywnym podziale pasma i osobnym torze wzmacniacza dla każdego przetwornika w zestawie głośnikowym</w:t>
            </w:r>
            <w:r w:rsidR="006137D9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6137D9" w:rsidRPr="003710A2">
              <w:rPr>
                <w:rFonts w:ascii="Arial" w:hAnsi="Arial" w:cs="Arial"/>
                <w:sz w:val="20"/>
                <w:szCs w:val="20"/>
              </w:rPr>
              <w:t>ferta otrzyma 30 punktów.</w:t>
            </w:r>
          </w:p>
        </w:tc>
        <w:tc>
          <w:tcPr>
            <w:tcW w:w="1560" w:type="dxa"/>
            <w:vAlign w:val="center"/>
          </w:tcPr>
          <w:p w:rsidR="006137D9" w:rsidRDefault="006137D9" w:rsidP="00BC6D52">
            <w:pPr>
              <w:jc w:val="center"/>
            </w:pPr>
            <w:r>
              <w:t>*</w:t>
            </w:r>
            <w:r w:rsidR="00BC6D52">
              <w:t>s</w:t>
            </w:r>
            <w:r>
              <w:t>pełnia/</w:t>
            </w:r>
            <w:r w:rsidR="00DA5347">
              <w:br/>
            </w:r>
            <w:r>
              <w:t>nie spełnia</w:t>
            </w:r>
          </w:p>
        </w:tc>
        <w:tc>
          <w:tcPr>
            <w:tcW w:w="2835" w:type="dxa"/>
            <w:vAlign w:val="center"/>
          </w:tcPr>
          <w:p w:rsidR="00D522AF" w:rsidRDefault="006D4FE1" w:rsidP="00BE4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FE1">
              <w:rPr>
                <w:rFonts w:ascii="Arial" w:hAnsi="Arial" w:cs="Arial"/>
                <w:sz w:val="18"/>
                <w:szCs w:val="18"/>
              </w:rPr>
              <w:t xml:space="preserve">W przypadku zaoferowania zestawów głośnikowych </w:t>
            </w:r>
            <w:r w:rsidR="00DA057C">
              <w:rPr>
                <w:rFonts w:ascii="Arial" w:hAnsi="Arial" w:cs="Arial"/>
                <w:sz w:val="18"/>
                <w:szCs w:val="18"/>
              </w:rPr>
              <w:br/>
            </w:r>
            <w:r w:rsidR="00BE40C5">
              <w:rPr>
                <w:rFonts w:ascii="Arial" w:hAnsi="Arial" w:cs="Arial"/>
                <w:sz w:val="18"/>
                <w:szCs w:val="18"/>
              </w:rPr>
              <w:t>opisanych w kol. 2,</w:t>
            </w:r>
            <w:r w:rsidRPr="006D4FE1">
              <w:rPr>
                <w:rFonts w:ascii="Arial" w:hAnsi="Arial" w:cs="Arial"/>
                <w:sz w:val="18"/>
                <w:szCs w:val="18"/>
              </w:rPr>
              <w:t xml:space="preserve"> oferta otrzyma </w:t>
            </w:r>
            <w:r w:rsidRPr="006D4FE1">
              <w:rPr>
                <w:rFonts w:ascii="Arial" w:hAnsi="Arial" w:cs="Arial"/>
                <w:b/>
                <w:sz w:val="18"/>
                <w:szCs w:val="18"/>
              </w:rPr>
              <w:t>30 punktów</w:t>
            </w:r>
            <w:r w:rsidRPr="006D4FE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137D9" w:rsidRPr="006D4FE1" w:rsidRDefault="006D4FE1" w:rsidP="00D522AF">
            <w:pPr>
              <w:jc w:val="center"/>
              <w:rPr>
                <w:sz w:val="18"/>
                <w:szCs w:val="18"/>
              </w:rPr>
            </w:pPr>
            <w:r w:rsidRPr="006D4FE1">
              <w:rPr>
                <w:rFonts w:ascii="Arial" w:hAnsi="Arial" w:cs="Arial"/>
                <w:sz w:val="18"/>
                <w:szCs w:val="18"/>
              </w:rPr>
              <w:t xml:space="preserve">W przypadku zaoferowania innych zestawów głośnikowych 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(ale zgodn</w:t>
            </w:r>
            <w:r w:rsidR="00D522AF">
              <w:rPr>
                <w:rFonts w:ascii="Arial" w:hAnsi="Arial" w:cs="Arial"/>
                <w:sz w:val="18"/>
                <w:szCs w:val="18"/>
              </w:rPr>
              <w:t>ych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 xml:space="preserve"> z OPZ</w:t>
            </w:r>
            <w:r w:rsidR="00BC6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2AF">
              <w:rPr>
                <w:rFonts w:ascii="Arial" w:hAnsi="Arial" w:cs="Arial"/>
                <w:sz w:val="18"/>
                <w:szCs w:val="18"/>
              </w:rPr>
              <w:br/>
            </w:r>
            <w:r w:rsidR="00BC6D52">
              <w:rPr>
                <w:rFonts w:ascii="Arial" w:hAnsi="Arial" w:cs="Arial"/>
                <w:sz w:val="18"/>
                <w:szCs w:val="18"/>
              </w:rPr>
              <w:t>i pozostałymi załącznikami do SWZ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)</w:t>
            </w:r>
            <w:r w:rsidR="00BC6D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FE1">
              <w:rPr>
                <w:rFonts w:ascii="Arial" w:hAnsi="Arial" w:cs="Arial"/>
                <w:sz w:val="18"/>
                <w:szCs w:val="18"/>
              </w:rPr>
              <w:t>oferta nie otrzyma punktów</w:t>
            </w:r>
            <w:r w:rsidR="008862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216">
              <w:rPr>
                <w:rFonts w:ascii="Arial" w:hAnsi="Arial" w:cs="Arial"/>
                <w:sz w:val="18"/>
                <w:szCs w:val="18"/>
              </w:rPr>
              <w:t>w tej pozycji</w:t>
            </w:r>
          </w:p>
        </w:tc>
      </w:tr>
      <w:tr w:rsidR="006137D9" w:rsidTr="006137D9">
        <w:trPr>
          <w:trHeight w:val="737"/>
        </w:trPr>
        <w:tc>
          <w:tcPr>
            <w:tcW w:w="704" w:type="dxa"/>
            <w:vAlign w:val="center"/>
          </w:tcPr>
          <w:p w:rsidR="006137D9" w:rsidRDefault="006137D9" w:rsidP="003710A2">
            <w:pPr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6137D9" w:rsidRPr="003710A2" w:rsidRDefault="006137D9" w:rsidP="008A4E88">
            <w:pPr>
              <w:ind w:left="48" w:hanging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0A2">
              <w:rPr>
                <w:rFonts w:ascii="Arial" w:hAnsi="Arial" w:cs="Arial"/>
                <w:sz w:val="20"/>
                <w:szCs w:val="20"/>
              </w:rPr>
              <w:t>Parametry matrycy sygnałowej:</w:t>
            </w:r>
          </w:p>
          <w:p w:rsidR="006D4FE1" w:rsidRDefault="00C045F3" w:rsidP="008A4E88">
            <w:pPr>
              <w:ind w:left="34" w:right="149" w:hanging="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matryca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sygnałowa</w:t>
            </w:r>
            <w:r w:rsidR="006137D9" w:rsidRPr="003710A2">
              <w:rPr>
                <w:rFonts w:ascii="Arial" w:hAnsi="Arial" w:cs="Arial"/>
                <w:sz w:val="20"/>
                <w:szCs w:val="20"/>
              </w:rPr>
              <w:t xml:space="preserve"> zgodn</w:t>
            </w:r>
            <w:r w:rsidR="006D4FE1">
              <w:rPr>
                <w:rFonts w:ascii="Arial" w:hAnsi="Arial" w:cs="Arial"/>
                <w:sz w:val="20"/>
                <w:szCs w:val="20"/>
              </w:rPr>
              <w:t>a</w:t>
            </w:r>
            <w:r w:rsidR="006137D9" w:rsidRPr="003710A2">
              <w:rPr>
                <w:rFonts w:ascii="Arial" w:hAnsi="Arial" w:cs="Arial"/>
                <w:sz w:val="20"/>
                <w:szCs w:val="20"/>
              </w:rPr>
              <w:t xml:space="preserve"> z zaofer</w:t>
            </w:r>
            <w:r w:rsidR="006137D9">
              <w:rPr>
                <w:rFonts w:ascii="Arial" w:hAnsi="Arial" w:cs="Arial"/>
                <w:sz w:val="20"/>
                <w:szCs w:val="20"/>
              </w:rPr>
              <w:t xml:space="preserve">owanymi zestawami głośnikowymi. </w:t>
            </w:r>
          </w:p>
          <w:p w:rsidR="006137D9" w:rsidRPr="003710A2" w:rsidRDefault="006137D9" w:rsidP="008A4E88">
            <w:pPr>
              <w:ind w:left="34" w:right="149" w:hanging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0A2">
              <w:rPr>
                <w:rFonts w:ascii="Arial" w:hAnsi="Arial" w:cs="Arial"/>
                <w:sz w:val="20"/>
                <w:szCs w:val="20"/>
              </w:rPr>
              <w:t>Jako parametry zgodności traktowane są:</w:t>
            </w:r>
          </w:p>
          <w:p w:rsidR="006137D9" w:rsidRPr="003710A2" w:rsidRDefault="006137D9" w:rsidP="008A4E88">
            <w:pPr>
              <w:ind w:firstLine="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10A2">
              <w:rPr>
                <w:rFonts w:ascii="Arial" w:hAnsi="Arial" w:cs="Arial"/>
                <w:sz w:val="20"/>
                <w:szCs w:val="20"/>
              </w:rPr>
              <w:t>obecność</w:t>
            </w:r>
            <w:proofErr w:type="gramEnd"/>
            <w:r w:rsidRPr="003710A2">
              <w:rPr>
                <w:rFonts w:ascii="Arial" w:hAnsi="Arial" w:cs="Arial"/>
                <w:sz w:val="20"/>
                <w:szCs w:val="20"/>
              </w:rPr>
              <w:t xml:space="preserve"> dedykowanych fil</w:t>
            </w:r>
            <w:r>
              <w:rPr>
                <w:rFonts w:ascii="Arial" w:hAnsi="Arial" w:cs="Arial"/>
                <w:sz w:val="20"/>
                <w:szCs w:val="20"/>
              </w:rPr>
              <w:t xml:space="preserve">trów o przestrajalnych zboczach </w:t>
            </w:r>
            <w:r w:rsidRPr="003710A2">
              <w:rPr>
                <w:rFonts w:ascii="Arial" w:hAnsi="Arial" w:cs="Arial"/>
                <w:sz w:val="20"/>
                <w:szCs w:val="20"/>
              </w:rPr>
              <w:t>kształtujących charakterystykę częstotliwościową w torach wejściowych.</w:t>
            </w:r>
          </w:p>
        </w:tc>
        <w:tc>
          <w:tcPr>
            <w:tcW w:w="1560" w:type="dxa"/>
            <w:vAlign w:val="center"/>
          </w:tcPr>
          <w:p w:rsidR="006137D9" w:rsidRDefault="006137D9" w:rsidP="00BC6D52">
            <w:pPr>
              <w:jc w:val="center"/>
            </w:pPr>
            <w:r>
              <w:t>*</w:t>
            </w:r>
            <w:r w:rsidR="00BC6D52">
              <w:t>s</w:t>
            </w:r>
            <w:r>
              <w:t>pełnia/</w:t>
            </w:r>
            <w:r w:rsidR="00DA5347">
              <w:br/>
            </w:r>
            <w:r>
              <w:t>nie spełnia</w:t>
            </w:r>
          </w:p>
        </w:tc>
        <w:tc>
          <w:tcPr>
            <w:tcW w:w="2835" w:type="dxa"/>
            <w:vAlign w:val="center"/>
          </w:tcPr>
          <w:p w:rsidR="006137D9" w:rsidRPr="006D4FE1" w:rsidRDefault="006D4FE1" w:rsidP="00D522AF">
            <w:pPr>
              <w:jc w:val="center"/>
              <w:rPr>
                <w:sz w:val="18"/>
                <w:szCs w:val="18"/>
              </w:rPr>
            </w:pPr>
            <w:r w:rsidRPr="006D4FE1">
              <w:rPr>
                <w:rFonts w:ascii="Arial" w:hAnsi="Arial" w:cs="Arial"/>
                <w:sz w:val="18"/>
                <w:szCs w:val="18"/>
              </w:rPr>
              <w:t>W</w:t>
            </w:r>
            <w:r w:rsidR="00C045F3" w:rsidRPr="006D4FE1">
              <w:rPr>
                <w:rFonts w:ascii="Arial" w:hAnsi="Arial" w:cs="Arial"/>
                <w:sz w:val="18"/>
                <w:szCs w:val="18"/>
              </w:rPr>
              <w:t xml:space="preserve"> przypadku zaoferowania matrycy sygnałowej zgodnej </w:t>
            </w:r>
            <w:r w:rsidR="00DA057C">
              <w:rPr>
                <w:rFonts w:ascii="Arial" w:hAnsi="Arial" w:cs="Arial"/>
                <w:sz w:val="18"/>
                <w:szCs w:val="18"/>
              </w:rPr>
              <w:br/>
            </w:r>
            <w:r w:rsidR="00C045F3" w:rsidRPr="006D4FE1">
              <w:rPr>
                <w:rFonts w:ascii="Arial" w:hAnsi="Arial" w:cs="Arial"/>
                <w:sz w:val="18"/>
                <w:szCs w:val="18"/>
              </w:rPr>
              <w:t>z zaoferowanymi zestawami głośnikowymi</w:t>
            </w:r>
            <w:r w:rsidRPr="006D4FE1">
              <w:rPr>
                <w:rFonts w:ascii="Arial" w:hAnsi="Arial" w:cs="Arial"/>
                <w:sz w:val="18"/>
                <w:szCs w:val="18"/>
              </w:rPr>
              <w:t xml:space="preserve"> oferta otrzyma </w:t>
            </w:r>
            <w:r w:rsidR="00DA057C">
              <w:rPr>
                <w:rFonts w:ascii="Arial" w:hAnsi="Arial" w:cs="Arial"/>
                <w:sz w:val="18"/>
                <w:szCs w:val="18"/>
              </w:rPr>
              <w:br/>
            </w:r>
            <w:r w:rsidRPr="006D4FE1">
              <w:rPr>
                <w:rFonts w:ascii="Arial" w:hAnsi="Arial" w:cs="Arial"/>
                <w:b/>
                <w:sz w:val="18"/>
                <w:szCs w:val="18"/>
              </w:rPr>
              <w:t>5 punktów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D4FE1">
              <w:rPr>
                <w:rFonts w:ascii="Arial" w:hAnsi="Arial" w:cs="Arial"/>
                <w:sz w:val="18"/>
                <w:szCs w:val="18"/>
              </w:rPr>
              <w:t>W przypadku zaoferowania inn</w:t>
            </w:r>
            <w:r>
              <w:rPr>
                <w:rFonts w:ascii="Arial" w:hAnsi="Arial" w:cs="Arial"/>
                <w:sz w:val="18"/>
                <w:szCs w:val="18"/>
              </w:rPr>
              <w:t>ej matrycy sygnałowej</w:t>
            </w:r>
            <w:r w:rsidRPr="006D4F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(ale zgodne</w:t>
            </w:r>
            <w:r w:rsidR="00D522AF">
              <w:rPr>
                <w:rFonts w:ascii="Arial" w:hAnsi="Arial" w:cs="Arial"/>
                <w:sz w:val="18"/>
                <w:szCs w:val="18"/>
              </w:rPr>
              <w:t>j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 xml:space="preserve"> z OPZ</w:t>
            </w:r>
            <w:r w:rsidR="00BC6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2AF">
              <w:rPr>
                <w:rFonts w:ascii="Arial" w:hAnsi="Arial" w:cs="Arial"/>
                <w:sz w:val="18"/>
                <w:szCs w:val="18"/>
              </w:rPr>
              <w:br/>
            </w:r>
            <w:r w:rsidR="00BC6D52">
              <w:rPr>
                <w:rFonts w:ascii="Arial" w:hAnsi="Arial" w:cs="Arial"/>
                <w:sz w:val="18"/>
                <w:szCs w:val="18"/>
              </w:rPr>
              <w:t>i pozostałymi załącznikami do SWZ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)</w:t>
            </w:r>
            <w:r w:rsidR="00BC6D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FE1">
              <w:rPr>
                <w:rFonts w:ascii="Arial" w:hAnsi="Arial" w:cs="Arial"/>
                <w:sz w:val="18"/>
                <w:szCs w:val="18"/>
              </w:rPr>
              <w:t>oferta nie otrzyma punktów</w:t>
            </w:r>
            <w:r w:rsidR="008862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216">
              <w:rPr>
                <w:rFonts w:ascii="Arial" w:hAnsi="Arial" w:cs="Arial"/>
                <w:sz w:val="18"/>
                <w:szCs w:val="18"/>
              </w:rPr>
              <w:t>w tej pozycji</w:t>
            </w:r>
          </w:p>
        </w:tc>
      </w:tr>
      <w:tr w:rsidR="006137D9" w:rsidTr="006137D9">
        <w:trPr>
          <w:trHeight w:val="737"/>
        </w:trPr>
        <w:tc>
          <w:tcPr>
            <w:tcW w:w="704" w:type="dxa"/>
            <w:vAlign w:val="center"/>
          </w:tcPr>
          <w:p w:rsidR="006137D9" w:rsidRDefault="006137D9" w:rsidP="003710A2">
            <w:pPr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6137D9" w:rsidRPr="00B82F2B" w:rsidRDefault="00DA057C" w:rsidP="00B82F2B">
            <w:pPr>
              <w:ind w:left="14"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F2B">
              <w:rPr>
                <w:rFonts w:ascii="Arial" w:hAnsi="Arial" w:cs="Arial"/>
                <w:sz w:val="20"/>
                <w:szCs w:val="20"/>
              </w:rPr>
              <w:t>Wzmacniacze lub procesory sygnałowe wyposażone</w:t>
            </w:r>
            <w:r w:rsidR="00AD140A" w:rsidRPr="00B82F2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6137D9" w:rsidRPr="00B82F2B">
              <w:rPr>
                <w:rFonts w:ascii="Arial" w:hAnsi="Arial" w:cs="Arial"/>
                <w:sz w:val="20"/>
                <w:szCs w:val="20"/>
              </w:rPr>
              <w:t>dedykowane filtry o przestrajalnych zboczach</w:t>
            </w:r>
            <w:r w:rsidRPr="00B82F2B">
              <w:rPr>
                <w:rFonts w:ascii="Arial" w:hAnsi="Arial" w:cs="Arial"/>
                <w:sz w:val="20"/>
                <w:szCs w:val="20"/>
              </w:rPr>
              <w:t xml:space="preserve"> kształtujących charakterystykę </w:t>
            </w:r>
            <w:proofErr w:type="spellStart"/>
            <w:r w:rsidR="006137D9" w:rsidRPr="00B82F2B">
              <w:rPr>
                <w:rFonts w:ascii="Arial" w:hAnsi="Arial" w:cs="Arial"/>
                <w:sz w:val="20"/>
                <w:szCs w:val="20"/>
              </w:rPr>
              <w:t>częstotliwoś</w:t>
            </w:r>
            <w:r w:rsidRPr="00B82F2B">
              <w:rPr>
                <w:rFonts w:ascii="Arial" w:hAnsi="Arial" w:cs="Arial"/>
                <w:sz w:val="20"/>
                <w:szCs w:val="20"/>
              </w:rPr>
              <w:t>-</w:t>
            </w:r>
            <w:r w:rsidR="006137D9" w:rsidRPr="00B82F2B">
              <w:rPr>
                <w:rFonts w:ascii="Arial" w:hAnsi="Arial" w:cs="Arial"/>
                <w:sz w:val="20"/>
                <w:szCs w:val="20"/>
              </w:rPr>
              <w:t>ciową</w:t>
            </w:r>
            <w:proofErr w:type="spellEnd"/>
            <w:r w:rsidR="006137D9" w:rsidRPr="00B82F2B">
              <w:rPr>
                <w:rFonts w:ascii="Arial" w:hAnsi="Arial" w:cs="Arial"/>
                <w:sz w:val="20"/>
                <w:szCs w:val="20"/>
              </w:rPr>
              <w:t xml:space="preserve">, w każdym z 16 torów wyjściowych, minimum 3 filtrów </w:t>
            </w:r>
            <w:proofErr w:type="spellStart"/>
            <w:r w:rsidR="006137D9" w:rsidRPr="00B82F2B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="006137D9" w:rsidRPr="00B82F2B">
              <w:rPr>
                <w:rFonts w:ascii="Arial" w:hAnsi="Arial" w:cs="Arial"/>
                <w:sz w:val="20"/>
                <w:szCs w:val="20"/>
              </w:rPr>
              <w:t>-pass umożliwiających kształtowanie charakterystyki fazowej w każdym z 16 torów wyjściowych.</w:t>
            </w:r>
          </w:p>
        </w:tc>
        <w:tc>
          <w:tcPr>
            <w:tcW w:w="1560" w:type="dxa"/>
            <w:vAlign w:val="center"/>
          </w:tcPr>
          <w:p w:rsidR="006137D9" w:rsidRDefault="006137D9" w:rsidP="00BC6D52">
            <w:pPr>
              <w:jc w:val="center"/>
            </w:pPr>
            <w:r>
              <w:t>*</w:t>
            </w:r>
            <w:r w:rsidR="00BC6D52">
              <w:t>s</w:t>
            </w:r>
            <w:r>
              <w:t>pełnia/</w:t>
            </w:r>
            <w:r w:rsidR="00DA5347">
              <w:br/>
            </w:r>
            <w:r>
              <w:t>nie spełnia</w:t>
            </w:r>
          </w:p>
        </w:tc>
        <w:tc>
          <w:tcPr>
            <w:tcW w:w="2835" w:type="dxa"/>
            <w:vAlign w:val="center"/>
          </w:tcPr>
          <w:p w:rsidR="006137D9" w:rsidRPr="000E4F58" w:rsidRDefault="00AD140A" w:rsidP="000E4F58">
            <w:pPr>
              <w:jc w:val="center"/>
              <w:rPr>
                <w:sz w:val="18"/>
                <w:szCs w:val="18"/>
              </w:rPr>
            </w:pPr>
            <w:r w:rsidRPr="000E4F58">
              <w:rPr>
                <w:rFonts w:ascii="Arial" w:hAnsi="Arial" w:cs="Arial"/>
                <w:sz w:val="18"/>
                <w:szCs w:val="18"/>
              </w:rPr>
              <w:t>W przypadku zaoferowania takich wzmacniaczy lub procesorów o</w:t>
            </w:r>
            <w:r w:rsidR="00DA057C" w:rsidRPr="000E4F58">
              <w:rPr>
                <w:rFonts w:ascii="Arial" w:hAnsi="Arial" w:cs="Arial"/>
                <w:sz w:val="18"/>
                <w:szCs w:val="18"/>
              </w:rPr>
              <w:t xml:space="preserve">ferta otrzyma </w:t>
            </w:r>
            <w:r w:rsidRPr="000E4F58">
              <w:rPr>
                <w:rFonts w:ascii="Arial" w:hAnsi="Arial" w:cs="Arial"/>
                <w:sz w:val="18"/>
                <w:szCs w:val="18"/>
              </w:rPr>
              <w:br/>
            </w:r>
            <w:r w:rsidR="00DA057C" w:rsidRPr="000E4F58">
              <w:rPr>
                <w:rFonts w:ascii="Arial" w:hAnsi="Arial" w:cs="Arial"/>
                <w:b/>
                <w:sz w:val="18"/>
                <w:szCs w:val="18"/>
              </w:rPr>
              <w:t>5 punktów</w:t>
            </w:r>
            <w:r w:rsidRPr="000E4F5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A057C" w:rsidRPr="000E4F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F58">
              <w:rPr>
                <w:rFonts w:ascii="Arial" w:hAnsi="Arial" w:cs="Arial"/>
                <w:sz w:val="18"/>
                <w:szCs w:val="18"/>
              </w:rPr>
              <w:t>W przypadku zaoferowania</w:t>
            </w:r>
            <w:r w:rsidR="00DA057C" w:rsidRPr="000E4F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F58">
              <w:rPr>
                <w:rFonts w:ascii="Arial" w:hAnsi="Arial" w:cs="Arial"/>
                <w:sz w:val="18"/>
                <w:szCs w:val="18"/>
              </w:rPr>
              <w:t xml:space="preserve">innego rozwiązania 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(ale zgodnego z OPZ</w:t>
            </w:r>
            <w:r w:rsidR="00BC6D52">
              <w:rPr>
                <w:rFonts w:ascii="Arial" w:hAnsi="Arial" w:cs="Arial"/>
                <w:sz w:val="18"/>
                <w:szCs w:val="18"/>
              </w:rPr>
              <w:t xml:space="preserve"> i pozostałymi załącznikami do SWZ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)</w:t>
            </w:r>
            <w:r w:rsidR="00BC6D52">
              <w:rPr>
                <w:rFonts w:ascii="Arial" w:hAnsi="Arial" w:cs="Arial"/>
                <w:sz w:val="18"/>
                <w:szCs w:val="18"/>
              </w:rPr>
              <w:t>,</w:t>
            </w:r>
            <w:r w:rsidRPr="000E4F58">
              <w:rPr>
                <w:rFonts w:ascii="Arial" w:hAnsi="Arial" w:cs="Arial"/>
                <w:sz w:val="18"/>
                <w:szCs w:val="18"/>
              </w:rPr>
              <w:t xml:space="preserve"> oferta nie otrzyma punktów</w:t>
            </w:r>
            <w:r w:rsidR="008862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216">
              <w:rPr>
                <w:rFonts w:ascii="Arial" w:hAnsi="Arial" w:cs="Arial"/>
                <w:sz w:val="18"/>
                <w:szCs w:val="18"/>
              </w:rPr>
              <w:t>w tej pozycji</w:t>
            </w:r>
          </w:p>
        </w:tc>
      </w:tr>
      <w:tr w:rsidR="00B82F2B" w:rsidTr="006137D9">
        <w:trPr>
          <w:trHeight w:val="737"/>
        </w:trPr>
        <w:tc>
          <w:tcPr>
            <w:tcW w:w="704" w:type="dxa"/>
            <w:vAlign w:val="center"/>
          </w:tcPr>
          <w:p w:rsidR="00B82F2B" w:rsidRDefault="00B82F2B" w:rsidP="00B82F2B">
            <w:pPr>
              <w:jc w:val="center"/>
            </w:pPr>
            <w: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B82F2B" w:rsidRPr="00B82F2B" w:rsidRDefault="000E4F58" w:rsidP="000E4F58">
            <w:pPr>
              <w:ind w:left="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82F2B" w:rsidRPr="00B82F2B">
              <w:rPr>
                <w:rFonts w:ascii="Arial" w:hAnsi="Arial" w:cs="Arial"/>
                <w:sz w:val="20"/>
                <w:szCs w:val="20"/>
              </w:rPr>
              <w:t>atryc</w:t>
            </w:r>
            <w:r>
              <w:rPr>
                <w:rFonts w:ascii="Arial" w:hAnsi="Arial" w:cs="Arial"/>
                <w:sz w:val="20"/>
                <w:szCs w:val="20"/>
              </w:rPr>
              <w:t>a sygnałowa umożliwiająca</w:t>
            </w:r>
            <w:r w:rsidR="00B82F2B" w:rsidRPr="00B82F2B">
              <w:rPr>
                <w:rFonts w:ascii="Arial" w:hAnsi="Arial" w:cs="Arial"/>
                <w:sz w:val="20"/>
                <w:szCs w:val="20"/>
              </w:rPr>
              <w:t xml:space="preserve"> zarzadzanie zarówno z komputera wyposażonego w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2F2B" w:rsidRPr="00B82F2B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="00B82F2B" w:rsidRPr="00B82F2B">
              <w:rPr>
                <w:rFonts w:ascii="Arial" w:hAnsi="Arial" w:cs="Arial"/>
                <w:sz w:val="20"/>
                <w:szCs w:val="20"/>
              </w:rPr>
              <w:t>/Windows oraz tabletu wyposażonego w system iOS</w:t>
            </w:r>
          </w:p>
        </w:tc>
        <w:tc>
          <w:tcPr>
            <w:tcW w:w="1560" w:type="dxa"/>
            <w:vAlign w:val="center"/>
          </w:tcPr>
          <w:p w:rsidR="00B82F2B" w:rsidRDefault="00B82F2B" w:rsidP="00BC6D52">
            <w:pPr>
              <w:jc w:val="center"/>
            </w:pPr>
            <w:r>
              <w:t>*</w:t>
            </w:r>
            <w:r w:rsidR="00BC6D52">
              <w:t>s</w:t>
            </w:r>
            <w:r>
              <w:t>pełnia/</w:t>
            </w:r>
            <w:r w:rsidR="00DA5347">
              <w:br/>
            </w:r>
            <w:r>
              <w:t>nie spełnia</w:t>
            </w:r>
          </w:p>
        </w:tc>
        <w:tc>
          <w:tcPr>
            <w:tcW w:w="2835" w:type="dxa"/>
            <w:vAlign w:val="center"/>
          </w:tcPr>
          <w:p w:rsidR="000E4F58" w:rsidRPr="000E4F58" w:rsidRDefault="000E4F58" w:rsidP="000E4F58">
            <w:pPr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F58">
              <w:rPr>
                <w:rFonts w:ascii="Arial" w:hAnsi="Arial" w:cs="Arial"/>
                <w:sz w:val="18"/>
                <w:szCs w:val="18"/>
              </w:rPr>
              <w:t xml:space="preserve">W przypadku zaoferowania matrycy sygnałowej </w:t>
            </w:r>
            <w:r w:rsidR="00BE40C5">
              <w:rPr>
                <w:rFonts w:ascii="Arial" w:hAnsi="Arial" w:cs="Arial"/>
                <w:sz w:val="18"/>
                <w:szCs w:val="18"/>
              </w:rPr>
              <w:t xml:space="preserve">opisanej w kol. 2, </w:t>
            </w:r>
            <w:r w:rsidRPr="000E4F58">
              <w:rPr>
                <w:rFonts w:ascii="Arial" w:hAnsi="Arial" w:cs="Arial"/>
                <w:sz w:val="18"/>
                <w:szCs w:val="18"/>
              </w:rPr>
              <w:t xml:space="preserve">oferta otrzyma </w:t>
            </w:r>
            <w:r w:rsidRPr="000E4F58">
              <w:rPr>
                <w:rFonts w:ascii="Arial" w:hAnsi="Arial" w:cs="Arial"/>
                <w:b/>
                <w:sz w:val="18"/>
                <w:szCs w:val="18"/>
              </w:rPr>
              <w:t>5 punktów</w:t>
            </w:r>
            <w:r w:rsidRPr="000E4F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82F2B" w:rsidRPr="000E4F58" w:rsidRDefault="000E4F58" w:rsidP="000E4F58">
            <w:pPr>
              <w:ind w:left="61"/>
              <w:jc w:val="center"/>
              <w:rPr>
                <w:sz w:val="18"/>
                <w:szCs w:val="18"/>
              </w:rPr>
            </w:pPr>
            <w:r w:rsidRPr="000E4F58">
              <w:rPr>
                <w:rFonts w:ascii="Arial" w:hAnsi="Arial" w:cs="Arial"/>
                <w:sz w:val="18"/>
                <w:szCs w:val="18"/>
              </w:rPr>
              <w:t xml:space="preserve">W przypadku zaoferowania innego rozwiązania 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(ale zgodnego z OPZ</w:t>
            </w:r>
            <w:r w:rsidR="00BC6D52">
              <w:rPr>
                <w:rFonts w:ascii="Arial" w:hAnsi="Arial" w:cs="Arial"/>
                <w:sz w:val="18"/>
                <w:szCs w:val="18"/>
              </w:rPr>
              <w:t xml:space="preserve"> i pozostałymi załącznikami do SWZ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)</w:t>
            </w:r>
            <w:r w:rsidR="00BC6D52">
              <w:rPr>
                <w:rFonts w:ascii="Arial" w:hAnsi="Arial" w:cs="Arial"/>
                <w:sz w:val="18"/>
                <w:szCs w:val="18"/>
              </w:rPr>
              <w:t>,</w:t>
            </w:r>
            <w:r w:rsidRPr="000E4F58">
              <w:rPr>
                <w:rFonts w:ascii="Arial" w:hAnsi="Arial" w:cs="Arial"/>
                <w:sz w:val="18"/>
                <w:szCs w:val="18"/>
              </w:rPr>
              <w:t xml:space="preserve"> oferta nie otrzyma punktów</w:t>
            </w:r>
            <w:r w:rsidR="008862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216">
              <w:rPr>
                <w:rFonts w:ascii="Arial" w:hAnsi="Arial" w:cs="Arial"/>
                <w:sz w:val="18"/>
                <w:szCs w:val="18"/>
              </w:rPr>
              <w:t>w tej pozycji</w:t>
            </w:r>
          </w:p>
        </w:tc>
      </w:tr>
      <w:tr w:rsidR="00B82F2B" w:rsidTr="006137D9">
        <w:trPr>
          <w:trHeight w:val="737"/>
        </w:trPr>
        <w:tc>
          <w:tcPr>
            <w:tcW w:w="704" w:type="dxa"/>
            <w:vAlign w:val="center"/>
          </w:tcPr>
          <w:p w:rsidR="00B82F2B" w:rsidRDefault="00B82F2B" w:rsidP="00B82F2B">
            <w:pPr>
              <w:jc w:val="center"/>
            </w:pPr>
            <w:r>
              <w:t>7</w:t>
            </w:r>
          </w:p>
        </w:tc>
        <w:tc>
          <w:tcPr>
            <w:tcW w:w="4394" w:type="dxa"/>
            <w:vAlign w:val="center"/>
          </w:tcPr>
          <w:p w:rsidR="00B82F2B" w:rsidRPr="00B82F2B" w:rsidRDefault="00B82F2B" w:rsidP="000E4F58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F2B">
              <w:rPr>
                <w:rFonts w:ascii="Arial" w:hAnsi="Arial" w:cs="Arial"/>
                <w:sz w:val="20"/>
                <w:szCs w:val="20"/>
              </w:rPr>
              <w:t>Parametry zarzadzania systemem nagłośnieniowym:</w:t>
            </w:r>
          </w:p>
          <w:p w:rsidR="00B82F2B" w:rsidRPr="00B82F2B" w:rsidRDefault="000E4F58" w:rsidP="000E4F58">
            <w:pPr>
              <w:ind w:left="46"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rozwiązanie</w:t>
            </w:r>
            <w:proofErr w:type="gramEnd"/>
            <w:r w:rsidR="00B82F2B" w:rsidRPr="00B82F2B">
              <w:rPr>
                <w:rFonts w:ascii="Arial" w:hAnsi="Arial" w:cs="Arial"/>
                <w:sz w:val="20"/>
                <w:szCs w:val="20"/>
              </w:rPr>
              <w:t xml:space="preserve"> umożliwiające zarządzanie zarówno matrycą wejściową, procesorem sygnałowym z jednej platformy oprogramowania.</w:t>
            </w:r>
          </w:p>
        </w:tc>
        <w:tc>
          <w:tcPr>
            <w:tcW w:w="1560" w:type="dxa"/>
            <w:vAlign w:val="center"/>
          </w:tcPr>
          <w:p w:rsidR="00B82F2B" w:rsidRDefault="00B82F2B" w:rsidP="00BC6D52">
            <w:pPr>
              <w:jc w:val="center"/>
            </w:pPr>
            <w:r>
              <w:t>*</w:t>
            </w:r>
            <w:r w:rsidR="00BC6D52">
              <w:t>s</w:t>
            </w:r>
            <w:r>
              <w:t>pełnia/</w:t>
            </w:r>
            <w:r w:rsidR="00DA5347">
              <w:br/>
            </w:r>
            <w:r>
              <w:t>nie spełnia</w:t>
            </w:r>
          </w:p>
        </w:tc>
        <w:tc>
          <w:tcPr>
            <w:tcW w:w="2835" w:type="dxa"/>
            <w:vAlign w:val="center"/>
          </w:tcPr>
          <w:p w:rsidR="00B82F2B" w:rsidRPr="000E4F58" w:rsidRDefault="000E4F58" w:rsidP="00B82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F58">
              <w:rPr>
                <w:rFonts w:ascii="Arial" w:hAnsi="Arial" w:cs="Arial"/>
                <w:sz w:val="18"/>
                <w:szCs w:val="18"/>
              </w:rPr>
              <w:t xml:space="preserve">W przypadku zaoferowania rozwiązania umożliwiającego zarządzanie zarówno matrycą wejściową, procesorem sygnałowym z jednej platformy oprogramowania oferta otrzyma </w:t>
            </w:r>
            <w:r w:rsidRPr="000E4F58">
              <w:rPr>
                <w:rFonts w:ascii="Arial" w:hAnsi="Arial" w:cs="Arial"/>
                <w:b/>
                <w:sz w:val="18"/>
                <w:szCs w:val="18"/>
              </w:rPr>
              <w:t>5 punktów</w:t>
            </w:r>
            <w:r w:rsidRPr="000E4F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4F58" w:rsidRPr="000E4F58" w:rsidRDefault="000E4F58" w:rsidP="00B82F2B">
            <w:pPr>
              <w:jc w:val="center"/>
              <w:rPr>
                <w:sz w:val="18"/>
                <w:szCs w:val="18"/>
              </w:rPr>
            </w:pPr>
            <w:r w:rsidRPr="000E4F58">
              <w:rPr>
                <w:rFonts w:ascii="Arial" w:hAnsi="Arial" w:cs="Arial"/>
                <w:sz w:val="18"/>
                <w:szCs w:val="18"/>
              </w:rPr>
              <w:t xml:space="preserve">W przypadku zaoferowania innego rozwiązania 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(ale zgodnego z OPZ</w:t>
            </w:r>
            <w:r w:rsidR="00BC6D52">
              <w:rPr>
                <w:rFonts w:ascii="Arial" w:hAnsi="Arial" w:cs="Arial"/>
                <w:sz w:val="18"/>
                <w:szCs w:val="18"/>
              </w:rPr>
              <w:t xml:space="preserve"> i pozostałymi załącznikami do SWZ</w:t>
            </w:r>
            <w:r w:rsidR="00BC6D52" w:rsidRPr="000E4F58">
              <w:rPr>
                <w:rFonts w:ascii="Arial" w:hAnsi="Arial" w:cs="Arial"/>
                <w:sz w:val="18"/>
                <w:szCs w:val="18"/>
              </w:rPr>
              <w:t>)</w:t>
            </w:r>
            <w:r w:rsidR="00BC6D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F58">
              <w:rPr>
                <w:rFonts w:ascii="Arial" w:hAnsi="Arial" w:cs="Arial"/>
                <w:sz w:val="18"/>
                <w:szCs w:val="18"/>
              </w:rPr>
              <w:t>oferta nie otrzyma punktów</w:t>
            </w:r>
            <w:r w:rsidR="008862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216">
              <w:rPr>
                <w:rFonts w:ascii="Arial" w:hAnsi="Arial" w:cs="Arial"/>
                <w:sz w:val="18"/>
                <w:szCs w:val="18"/>
              </w:rPr>
              <w:t>w tej pozycji</w:t>
            </w:r>
          </w:p>
        </w:tc>
      </w:tr>
      <w:tr w:rsidR="00B82F2B" w:rsidTr="006137D9">
        <w:trPr>
          <w:trHeight w:val="737"/>
        </w:trPr>
        <w:tc>
          <w:tcPr>
            <w:tcW w:w="704" w:type="dxa"/>
            <w:vAlign w:val="center"/>
          </w:tcPr>
          <w:p w:rsidR="00B82F2B" w:rsidRDefault="00B82F2B" w:rsidP="00B82F2B">
            <w:pPr>
              <w:jc w:val="center"/>
            </w:pPr>
            <w:r>
              <w:t>8</w:t>
            </w:r>
          </w:p>
        </w:tc>
        <w:tc>
          <w:tcPr>
            <w:tcW w:w="4394" w:type="dxa"/>
            <w:vAlign w:val="center"/>
          </w:tcPr>
          <w:p w:rsidR="00B82F2B" w:rsidRPr="00B82F2B" w:rsidRDefault="00B82F2B" w:rsidP="00BC6D52">
            <w:pPr>
              <w:ind w:left="27" w:firstLine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F2B">
              <w:rPr>
                <w:rFonts w:ascii="Arial" w:hAnsi="Arial" w:cs="Arial"/>
                <w:sz w:val="20"/>
                <w:szCs w:val="20"/>
              </w:rPr>
              <w:t>Parametry toru przetwarzania: rozwiązania, w którym cały tor DSP (pomiędzy wejściem sygnału a zestawami głośnikowymi) będzie pracował ze stałym opóźnieniem nie większym niż I ms (nie dotyczy opóźnień wprowadzonych w trakcie strojenia aparatury mających zapewnić koherencję czasową pomiędzy poszczególnymi zestawami głośnikowymi rozmieszczonymi zgodnie z wytycznymi architektonicznymi).</w:t>
            </w:r>
          </w:p>
        </w:tc>
        <w:tc>
          <w:tcPr>
            <w:tcW w:w="1560" w:type="dxa"/>
            <w:vAlign w:val="center"/>
          </w:tcPr>
          <w:p w:rsidR="00B82F2B" w:rsidRDefault="00B82F2B" w:rsidP="00BC6D52">
            <w:pPr>
              <w:jc w:val="center"/>
            </w:pPr>
            <w:r>
              <w:t>*</w:t>
            </w:r>
            <w:r w:rsidR="00BC6D52">
              <w:t>s</w:t>
            </w:r>
            <w:r>
              <w:t>pełnia/</w:t>
            </w:r>
            <w:r w:rsidR="00DA5347">
              <w:br/>
            </w:r>
            <w:r>
              <w:t>nie spełnia</w:t>
            </w:r>
          </w:p>
        </w:tc>
        <w:tc>
          <w:tcPr>
            <w:tcW w:w="2835" w:type="dxa"/>
            <w:vAlign w:val="center"/>
          </w:tcPr>
          <w:p w:rsidR="00B82F2B" w:rsidRPr="00E52D5B" w:rsidRDefault="000E4F58" w:rsidP="000E4F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D5B">
              <w:rPr>
                <w:rFonts w:ascii="Arial" w:hAnsi="Arial" w:cs="Arial"/>
                <w:sz w:val="18"/>
                <w:szCs w:val="18"/>
              </w:rPr>
              <w:t xml:space="preserve">W przypadku zaoferowania </w:t>
            </w:r>
            <w:r w:rsidR="00BE40C5" w:rsidRPr="00E52D5B">
              <w:rPr>
                <w:rFonts w:ascii="Arial" w:hAnsi="Arial" w:cs="Arial"/>
                <w:sz w:val="18"/>
                <w:szCs w:val="18"/>
              </w:rPr>
              <w:t xml:space="preserve">rozwiązania </w:t>
            </w:r>
            <w:r w:rsidR="00BC6D52" w:rsidRPr="00E52D5B">
              <w:rPr>
                <w:rFonts w:ascii="Arial" w:hAnsi="Arial" w:cs="Arial"/>
                <w:sz w:val="18"/>
                <w:szCs w:val="18"/>
              </w:rPr>
              <w:t xml:space="preserve">opisanego </w:t>
            </w:r>
            <w:r w:rsidR="00BE40C5" w:rsidRPr="00E52D5B">
              <w:rPr>
                <w:rFonts w:ascii="Arial" w:hAnsi="Arial" w:cs="Arial"/>
                <w:sz w:val="18"/>
                <w:szCs w:val="18"/>
              </w:rPr>
              <w:br/>
              <w:t xml:space="preserve">w kol. 2, </w:t>
            </w:r>
            <w:r w:rsidRPr="00E52D5B">
              <w:rPr>
                <w:rFonts w:ascii="Arial" w:hAnsi="Arial" w:cs="Arial"/>
                <w:sz w:val="18"/>
                <w:szCs w:val="18"/>
              </w:rPr>
              <w:t xml:space="preserve">oferta otrzyma </w:t>
            </w:r>
            <w:r w:rsidRPr="00E52D5B">
              <w:rPr>
                <w:rFonts w:ascii="Arial" w:hAnsi="Arial" w:cs="Arial"/>
                <w:b/>
                <w:sz w:val="18"/>
                <w:szCs w:val="18"/>
              </w:rPr>
              <w:t>10 punktów</w:t>
            </w:r>
            <w:r w:rsidR="00BC6D52" w:rsidRPr="00E52D5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C6D52" w:rsidRPr="00E52D5B" w:rsidRDefault="00BC6D52" w:rsidP="000E4F58">
            <w:pPr>
              <w:jc w:val="center"/>
              <w:rPr>
                <w:sz w:val="18"/>
                <w:szCs w:val="18"/>
              </w:rPr>
            </w:pPr>
            <w:r w:rsidRPr="00E52D5B">
              <w:rPr>
                <w:rFonts w:ascii="Arial" w:hAnsi="Arial" w:cs="Arial"/>
                <w:sz w:val="18"/>
                <w:szCs w:val="18"/>
              </w:rPr>
              <w:t>W przypadku zaoferowania innego rozwiązania (ale zgodnego z OPZ i pozostałymi załącznikami do SWZ), oferta nie otrzyma punktów</w:t>
            </w:r>
            <w:r w:rsidR="008862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216">
              <w:rPr>
                <w:rFonts w:ascii="Arial" w:hAnsi="Arial" w:cs="Arial"/>
                <w:sz w:val="18"/>
                <w:szCs w:val="18"/>
              </w:rPr>
              <w:t>w tej pozycji</w:t>
            </w:r>
          </w:p>
        </w:tc>
      </w:tr>
      <w:tr w:rsidR="00B82F2B" w:rsidTr="006137D9">
        <w:trPr>
          <w:trHeight w:val="737"/>
        </w:trPr>
        <w:tc>
          <w:tcPr>
            <w:tcW w:w="704" w:type="dxa"/>
            <w:vAlign w:val="center"/>
          </w:tcPr>
          <w:p w:rsidR="00B82F2B" w:rsidRDefault="00B82F2B" w:rsidP="00B82F2B">
            <w:pPr>
              <w:jc w:val="center"/>
            </w:pPr>
            <w:r>
              <w:t>9</w:t>
            </w:r>
          </w:p>
        </w:tc>
        <w:tc>
          <w:tcPr>
            <w:tcW w:w="4394" w:type="dxa"/>
            <w:vAlign w:val="center"/>
          </w:tcPr>
          <w:p w:rsidR="00B82F2B" w:rsidRPr="00B82F2B" w:rsidRDefault="00B82F2B" w:rsidP="00E52D5B">
            <w:pPr>
              <w:ind w:left="13" w:right="67"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F2B">
              <w:rPr>
                <w:rFonts w:ascii="Arial" w:hAnsi="Arial" w:cs="Arial"/>
                <w:sz w:val="20"/>
                <w:szCs w:val="20"/>
              </w:rPr>
              <w:t xml:space="preserve">Za zastosowanie systemów </w:t>
            </w:r>
            <w:proofErr w:type="spellStart"/>
            <w:r w:rsidRPr="00B82F2B">
              <w:rPr>
                <w:rFonts w:ascii="Arial" w:hAnsi="Arial" w:cs="Arial"/>
                <w:sz w:val="20"/>
                <w:szCs w:val="20"/>
              </w:rPr>
              <w:t>niskotonowych</w:t>
            </w:r>
            <w:proofErr w:type="spellEnd"/>
            <w:r w:rsidRPr="00B82F2B">
              <w:rPr>
                <w:rFonts w:ascii="Arial" w:hAnsi="Arial" w:cs="Arial"/>
                <w:sz w:val="20"/>
                <w:szCs w:val="20"/>
              </w:rPr>
              <w:t xml:space="preserve">, wyposażonych w nie mniej niż pojedynczy przetwornik </w:t>
            </w:r>
            <w:proofErr w:type="spellStart"/>
            <w:r w:rsidRPr="00B82F2B">
              <w:rPr>
                <w:rFonts w:ascii="Arial" w:hAnsi="Arial" w:cs="Arial"/>
                <w:sz w:val="20"/>
                <w:szCs w:val="20"/>
              </w:rPr>
              <w:t>niskotonowy</w:t>
            </w:r>
            <w:proofErr w:type="spellEnd"/>
            <w:r w:rsidRPr="00B82F2B">
              <w:rPr>
                <w:rFonts w:ascii="Arial" w:hAnsi="Arial" w:cs="Arial"/>
                <w:sz w:val="20"/>
                <w:szCs w:val="20"/>
              </w:rPr>
              <w:t>, przystosowany do pracy z dużym wychyłem, o średnicy nie mniejszej niż 15 cali, zbudowany w oparciu o przetwornik/przetworniki wyposażony/</w:t>
            </w:r>
            <w:r w:rsidR="00E52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2F2B">
              <w:rPr>
                <w:rFonts w:ascii="Arial" w:hAnsi="Arial" w:cs="Arial"/>
                <w:sz w:val="20"/>
                <w:szCs w:val="20"/>
              </w:rPr>
              <w:t>wyposażone w dwie cewki drgające,</w:t>
            </w:r>
          </w:p>
        </w:tc>
        <w:tc>
          <w:tcPr>
            <w:tcW w:w="1560" w:type="dxa"/>
            <w:vAlign w:val="center"/>
          </w:tcPr>
          <w:p w:rsidR="00B82F2B" w:rsidRDefault="00B82F2B" w:rsidP="00BC6D52">
            <w:pPr>
              <w:jc w:val="center"/>
            </w:pPr>
            <w:r>
              <w:t>*</w:t>
            </w:r>
            <w:r w:rsidR="00BC6D52">
              <w:t>s</w:t>
            </w:r>
            <w:r>
              <w:t>pełnia/</w:t>
            </w:r>
            <w:r w:rsidR="00DA5347">
              <w:br/>
            </w:r>
            <w:r>
              <w:t>nie spełnia</w:t>
            </w:r>
          </w:p>
        </w:tc>
        <w:tc>
          <w:tcPr>
            <w:tcW w:w="2835" w:type="dxa"/>
            <w:vAlign w:val="center"/>
          </w:tcPr>
          <w:p w:rsidR="00B82F2B" w:rsidRDefault="00D522AF" w:rsidP="00D522AF">
            <w:pPr>
              <w:ind w:left="13" w:right="67" w:firstLine="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2D5B">
              <w:rPr>
                <w:rFonts w:ascii="Arial" w:hAnsi="Arial" w:cs="Arial"/>
                <w:sz w:val="18"/>
                <w:szCs w:val="18"/>
              </w:rPr>
              <w:t xml:space="preserve">W przypadku zastosowania systemów opisanych w kol. 2, oferta otrzyma </w:t>
            </w:r>
            <w:r w:rsidRPr="00E52D5B">
              <w:rPr>
                <w:rFonts w:ascii="Arial" w:hAnsi="Arial" w:cs="Arial"/>
                <w:b/>
                <w:sz w:val="18"/>
                <w:szCs w:val="18"/>
              </w:rPr>
              <w:t>20 punktów.</w:t>
            </w:r>
          </w:p>
          <w:p w:rsidR="000556BE" w:rsidRPr="00E52D5B" w:rsidRDefault="000556BE" w:rsidP="000556BE">
            <w:pPr>
              <w:ind w:left="13" w:right="67" w:firstLin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D5B">
              <w:rPr>
                <w:rFonts w:ascii="Arial" w:hAnsi="Arial" w:cs="Arial"/>
                <w:sz w:val="18"/>
                <w:szCs w:val="18"/>
              </w:rPr>
              <w:t>W przypadku zaoferowania innego rozwiązania (ale zgodnego z OPZ i pozostałymi załącznikami do SWZ), oferta nie otrzyma punktów</w:t>
            </w:r>
            <w:r w:rsidR="008862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216">
              <w:rPr>
                <w:rFonts w:ascii="Arial" w:hAnsi="Arial" w:cs="Arial"/>
                <w:sz w:val="18"/>
                <w:szCs w:val="18"/>
              </w:rPr>
              <w:t>w tej pozycji</w:t>
            </w:r>
          </w:p>
        </w:tc>
      </w:tr>
      <w:tr w:rsidR="00B82F2B" w:rsidTr="006137D9">
        <w:trPr>
          <w:trHeight w:val="737"/>
        </w:trPr>
        <w:tc>
          <w:tcPr>
            <w:tcW w:w="704" w:type="dxa"/>
            <w:vAlign w:val="center"/>
          </w:tcPr>
          <w:p w:rsidR="00B82F2B" w:rsidRDefault="00B82F2B" w:rsidP="00B82F2B">
            <w:pPr>
              <w:jc w:val="center"/>
            </w:pPr>
            <w:r>
              <w:t>10</w:t>
            </w:r>
          </w:p>
        </w:tc>
        <w:tc>
          <w:tcPr>
            <w:tcW w:w="4394" w:type="dxa"/>
            <w:vAlign w:val="center"/>
          </w:tcPr>
          <w:p w:rsidR="00B82F2B" w:rsidRPr="00B82F2B" w:rsidRDefault="00B82F2B" w:rsidP="001960B2">
            <w:pPr>
              <w:ind w:left="3" w:right="101" w:firstLine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F2B">
              <w:rPr>
                <w:rFonts w:ascii="Arial" w:hAnsi="Arial" w:cs="Arial"/>
                <w:sz w:val="20"/>
                <w:szCs w:val="20"/>
              </w:rPr>
              <w:t>Parametry platformy sprzętowo-programowej: rozwiązani</w:t>
            </w:r>
            <w:r w:rsidR="001960B2">
              <w:rPr>
                <w:rFonts w:ascii="Arial" w:hAnsi="Arial" w:cs="Arial"/>
                <w:sz w:val="20"/>
                <w:szCs w:val="20"/>
              </w:rPr>
              <w:t>e</w:t>
            </w:r>
            <w:r w:rsidRPr="00B82F2B">
              <w:rPr>
                <w:rFonts w:ascii="Arial" w:hAnsi="Arial" w:cs="Arial"/>
                <w:sz w:val="20"/>
                <w:szCs w:val="20"/>
              </w:rPr>
              <w:t xml:space="preserve"> umożliwiające monitorowanie parametrów pracy całego zestawu elektroakustycznego.</w:t>
            </w:r>
          </w:p>
        </w:tc>
        <w:tc>
          <w:tcPr>
            <w:tcW w:w="1560" w:type="dxa"/>
            <w:vAlign w:val="center"/>
          </w:tcPr>
          <w:p w:rsidR="00B82F2B" w:rsidRDefault="00B82F2B" w:rsidP="00BC6D52">
            <w:pPr>
              <w:jc w:val="center"/>
            </w:pPr>
            <w:r>
              <w:t>*</w:t>
            </w:r>
            <w:r w:rsidR="00BC6D52">
              <w:t>s</w:t>
            </w:r>
            <w:r>
              <w:t>pełnia/</w:t>
            </w:r>
            <w:r w:rsidR="00DA5347">
              <w:br/>
            </w:r>
            <w:r>
              <w:t>nie spełnia</w:t>
            </w:r>
          </w:p>
        </w:tc>
        <w:tc>
          <w:tcPr>
            <w:tcW w:w="2835" w:type="dxa"/>
            <w:vAlign w:val="center"/>
          </w:tcPr>
          <w:p w:rsidR="007E0304" w:rsidRPr="00E52D5B" w:rsidRDefault="007E0304" w:rsidP="007E03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D5B">
              <w:rPr>
                <w:rFonts w:ascii="Arial" w:hAnsi="Arial" w:cs="Arial"/>
                <w:sz w:val="18"/>
                <w:szCs w:val="18"/>
              </w:rPr>
              <w:t xml:space="preserve">W przypadku zaoferowania rozwiązania opisanego </w:t>
            </w:r>
            <w:r w:rsidRPr="00E52D5B">
              <w:rPr>
                <w:rFonts w:ascii="Arial" w:hAnsi="Arial" w:cs="Arial"/>
                <w:sz w:val="18"/>
                <w:szCs w:val="18"/>
              </w:rPr>
              <w:br/>
              <w:t xml:space="preserve">w kol. 2, oferta otrzyma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52D5B">
              <w:rPr>
                <w:rFonts w:ascii="Arial" w:hAnsi="Arial" w:cs="Arial"/>
                <w:b/>
                <w:sz w:val="18"/>
                <w:szCs w:val="18"/>
              </w:rPr>
              <w:t>0 punktów.</w:t>
            </w:r>
          </w:p>
          <w:p w:rsidR="00B82F2B" w:rsidRDefault="007E0304" w:rsidP="007E0304">
            <w:pPr>
              <w:jc w:val="center"/>
            </w:pPr>
            <w:r w:rsidRPr="00E52D5B">
              <w:rPr>
                <w:rFonts w:ascii="Arial" w:hAnsi="Arial" w:cs="Arial"/>
                <w:sz w:val="18"/>
                <w:szCs w:val="18"/>
              </w:rPr>
              <w:t>W przypadku zaoferowania innego rozwiązania (ale zgodnego z OPZ i pozostałymi załącznikami do SWZ), oferta nie otrzyma punktów</w:t>
            </w:r>
            <w:r w:rsidR="008862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216">
              <w:rPr>
                <w:rFonts w:ascii="Arial" w:hAnsi="Arial" w:cs="Arial"/>
                <w:sz w:val="18"/>
                <w:szCs w:val="18"/>
              </w:rPr>
              <w:t>w tej pozycji</w:t>
            </w:r>
          </w:p>
        </w:tc>
      </w:tr>
    </w:tbl>
    <w:p w:rsidR="003710A2" w:rsidRDefault="003710A2"/>
    <w:p w:rsidR="003710A2" w:rsidRPr="00B82F2B" w:rsidRDefault="003710A2">
      <w:pPr>
        <w:rPr>
          <w:rFonts w:ascii="Arial" w:hAnsi="Arial" w:cs="Arial"/>
          <w:i/>
        </w:rPr>
      </w:pPr>
      <w:r w:rsidRPr="00B82F2B">
        <w:rPr>
          <w:rFonts w:ascii="Arial" w:hAnsi="Arial" w:cs="Arial"/>
          <w:i/>
        </w:rPr>
        <w:t>*niepotrzebne skreślić</w:t>
      </w:r>
    </w:p>
    <w:p w:rsidR="003710A2" w:rsidRDefault="003710A2">
      <w:bookmarkStart w:id="0" w:name="_GoBack"/>
      <w:bookmarkEnd w:id="0"/>
    </w:p>
    <w:p w:rsidR="003710A2" w:rsidRDefault="003710A2"/>
    <w:p w:rsidR="003710A2" w:rsidRDefault="003710A2"/>
    <w:p w:rsidR="003710A2" w:rsidRDefault="0075368E" w:rsidP="0075368E">
      <w:pPr>
        <w:ind w:firstLine="3828"/>
      </w:pPr>
      <w:r w:rsidRPr="0040316E">
        <w:rPr>
          <w:rFonts w:ascii="Arial" w:hAnsi="Arial" w:cs="Arial"/>
          <w:i/>
          <w:sz w:val="20"/>
        </w:rPr>
        <w:t>Podpisać kwalifikowanym podpisem elektronicznym</w:t>
      </w:r>
    </w:p>
    <w:p w:rsidR="003710A2" w:rsidRDefault="003710A2"/>
    <w:p w:rsidR="003710A2" w:rsidRDefault="003710A2"/>
    <w:p w:rsidR="003710A2" w:rsidRDefault="003710A2"/>
    <w:sectPr w:rsidR="003710A2" w:rsidSect="003710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1.25pt;visibility:visible;mso-wrap-style:square" o:bullet="t">
        <v:imagedata r:id="rId1" o:title=""/>
      </v:shape>
    </w:pict>
  </w:numPicBullet>
  <w:numPicBullet w:numPicBulletId="1">
    <w:pict>
      <v:shape id="_x0000_i1029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9163733"/>
    <w:multiLevelType w:val="hybridMultilevel"/>
    <w:tmpl w:val="DB922BBA"/>
    <w:lvl w:ilvl="0" w:tplc="DDB886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C8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25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42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06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166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FC4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E5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C0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665224"/>
    <w:multiLevelType w:val="hybridMultilevel"/>
    <w:tmpl w:val="C7325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609E"/>
    <w:multiLevelType w:val="hybridMultilevel"/>
    <w:tmpl w:val="D68A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1DE"/>
    <w:multiLevelType w:val="hybridMultilevel"/>
    <w:tmpl w:val="0C24144A"/>
    <w:lvl w:ilvl="0" w:tplc="04150001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A229F"/>
    <w:multiLevelType w:val="hybridMultilevel"/>
    <w:tmpl w:val="E0BAF846"/>
    <w:lvl w:ilvl="0" w:tplc="3C7A8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C8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4A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8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09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01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EE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00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85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A6F45DD"/>
    <w:multiLevelType w:val="hybridMultilevel"/>
    <w:tmpl w:val="D14E3A46"/>
    <w:lvl w:ilvl="0" w:tplc="DDB886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A2"/>
    <w:rsid w:val="000556BE"/>
    <w:rsid w:val="000E4F58"/>
    <w:rsid w:val="00115A30"/>
    <w:rsid w:val="001960B2"/>
    <w:rsid w:val="003710A2"/>
    <w:rsid w:val="006137D9"/>
    <w:rsid w:val="00620D8F"/>
    <w:rsid w:val="006D4FE1"/>
    <w:rsid w:val="0075368E"/>
    <w:rsid w:val="007E0304"/>
    <w:rsid w:val="008735DD"/>
    <w:rsid w:val="00886216"/>
    <w:rsid w:val="008A4E88"/>
    <w:rsid w:val="00AD140A"/>
    <w:rsid w:val="00B82F2B"/>
    <w:rsid w:val="00BC6D52"/>
    <w:rsid w:val="00BE40C5"/>
    <w:rsid w:val="00C045F3"/>
    <w:rsid w:val="00D522AF"/>
    <w:rsid w:val="00DA057C"/>
    <w:rsid w:val="00DA5347"/>
    <w:rsid w:val="00E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46CF"/>
  <w15:chartTrackingRefBased/>
  <w15:docId w15:val="{FDB107CC-1059-4C98-8448-1524DCA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710A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10A2"/>
    <w:pPr>
      <w:ind w:left="720"/>
      <w:contextualSpacing/>
    </w:pPr>
  </w:style>
  <w:style w:type="table" w:styleId="Tabela-Siatka">
    <w:name w:val="Table Grid"/>
    <w:basedOn w:val="Standardowy"/>
    <w:uiPriority w:val="39"/>
    <w:rsid w:val="0037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20</cp:revision>
  <dcterms:created xsi:type="dcterms:W3CDTF">2021-10-04T07:14:00Z</dcterms:created>
  <dcterms:modified xsi:type="dcterms:W3CDTF">2021-10-04T10:00:00Z</dcterms:modified>
</cp:coreProperties>
</file>