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5E393" w14:textId="36D80085" w:rsidR="002564F4" w:rsidRDefault="000D64D8" w:rsidP="000D64D8">
      <w:pPr>
        <w:jc w:val="right"/>
        <w:rPr>
          <w:rFonts w:ascii="Times New Roman" w:hAnsi="Times New Roman" w:cs="Times New Roman"/>
          <w:b/>
          <w:sz w:val="24"/>
        </w:rPr>
      </w:pPr>
      <w:r w:rsidRPr="000D64D8">
        <w:rPr>
          <w:rFonts w:ascii="Times New Roman" w:hAnsi="Times New Roman" w:cs="Times New Roman"/>
          <w:b/>
          <w:sz w:val="24"/>
        </w:rPr>
        <w:t>Załącznik nr 2.5. do SWZ</w:t>
      </w:r>
      <w:r w:rsidR="007F7A06">
        <w:rPr>
          <w:rFonts w:ascii="Times New Roman" w:hAnsi="Times New Roman" w:cs="Times New Roman"/>
          <w:b/>
          <w:sz w:val="24"/>
        </w:rPr>
        <w:t xml:space="preserve"> ( po modyfikacji)</w:t>
      </w:r>
    </w:p>
    <w:p w14:paraId="1DC4F54C" w14:textId="28032F2A" w:rsidR="000D64D8" w:rsidRDefault="000D64D8" w:rsidP="000D64D8">
      <w:pPr>
        <w:rPr>
          <w:rFonts w:ascii="Times New Roman" w:hAnsi="Times New Roman" w:cs="Times New Roman"/>
          <w:sz w:val="24"/>
        </w:rPr>
      </w:pPr>
    </w:p>
    <w:p w14:paraId="19750C19" w14:textId="0B10B115" w:rsidR="000D64D8" w:rsidRPr="000D64D8" w:rsidRDefault="000D64D8" w:rsidP="000D64D8">
      <w:pPr>
        <w:jc w:val="center"/>
        <w:rPr>
          <w:rFonts w:ascii="Times New Roman" w:hAnsi="Times New Roman"/>
          <w:b/>
          <w:bCs/>
          <w:sz w:val="28"/>
        </w:rPr>
      </w:pPr>
      <w:r w:rsidRPr="000D64D8">
        <w:rPr>
          <w:rFonts w:ascii="Times New Roman" w:hAnsi="Times New Roman"/>
          <w:b/>
          <w:sz w:val="28"/>
        </w:rPr>
        <w:t>Zestawienie asortymentowo – cenowe przedmiotu zamówienia</w:t>
      </w:r>
      <w:r w:rsidR="00C04B82">
        <w:rPr>
          <w:rFonts w:ascii="Times New Roman" w:hAnsi="Times New Roman"/>
          <w:b/>
          <w:sz w:val="28"/>
        </w:rPr>
        <w:t xml:space="preserve"> </w:t>
      </w:r>
      <w:r w:rsidR="00C04B82" w:rsidRPr="00C04B82">
        <w:rPr>
          <w:rFonts w:ascii="Times New Roman" w:hAnsi="Times New Roman"/>
          <w:b/>
          <w:sz w:val="28"/>
          <w:highlight w:val="cyan"/>
        </w:rPr>
        <w:t>PAKIET NR 3</w:t>
      </w:r>
    </w:p>
    <w:p w14:paraId="3A5DE09E" w14:textId="2DFE58C8" w:rsidR="000D64D8" w:rsidRPr="000D64D8" w:rsidRDefault="000D64D8" w:rsidP="000D64D8">
      <w:pPr>
        <w:pStyle w:val="Stopka"/>
        <w:jc w:val="center"/>
        <w:rPr>
          <w:rFonts w:ascii="Times New Roman" w:hAnsi="Times New Roman" w:cs="Times New Roman"/>
          <w:szCs w:val="20"/>
        </w:rPr>
      </w:pPr>
      <w:r w:rsidRPr="000D64D8">
        <w:rPr>
          <w:rFonts w:ascii="Times New Roman" w:hAnsi="Times New Roman" w:cs="Times New Roman"/>
          <w:bCs/>
          <w:color w:val="000000"/>
          <w:szCs w:val="20"/>
        </w:rPr>
        <w:t xml:space="preserve">Dostawa </w:t>
      </w:r>
      <w:r w:rsidRPr="000D64D8">
        <w:rPr>
          <w:rFonts w:ascii="Times New Roman" w:hAnsi="Times New Roman" w:cs="Times New Roman"/>
          <w:szCs w:val="20"/>
        </w:rPr>
        <w:t>odczynników do diagnostyki molekularnej metodą PCR wraz z najmem automatycznego wieloparametrowego analizatora (</w:t>
      </w:r>
      <w:proofErr w:type="spellStart"/>
      <w:r w:rsidRPr="000D64D8">
        <w:rPr>
          <w:rFonts w:ascii="Times New Roman" w:hAnsi="Times New Roman" w:cs="Times New Roman"/>
          <w:szCs w:val="20"/>
        </w:rPr>
        <w:t>multiplex</w:t>
      </w:r>
      <w:proofErr w:type="spellEnd"/>
      <w:r w:rsidRPr="000D64D8">
        <w:rPr>
          <w:rFonts w:ascii="Times New Roman" w:hAnsi="Times New Roman" w:cs="Times New Roman"/>
          <w:szCs w:val="20"/>
        </w:rPr>
        <w:t xml:space="preserve"> PCR w systemie zamkniętym ) przez okres 36 miesięcy dla Zakładu Diagnostyki Laboratoryjnej. </w:t>
      </w:r>
    </w:p>
    <w:p w14:paraId="3E7ED674" w14:textId="77777777" w:rsidR="000D64D8" w:rsidRPr="000D64D8" w:rsidRDefault="000D64D8" w:rsidP="000D64D8">
      <w:pPr>
        <w:pStyle w:val="Stopka"/>
        <w:jc w:val="center"/>
        <w:rPr>
          <w:rFonts w:ascii="Times New Roman" w:hAnsi="Times New Roman" w:cs="Times New Roman"/>
          <w:szCs w:val="20"/>
        </w:rPr>
      </w:pPr>
    </w:p>
    <w:tbl>
      <w:tblPr>
        <w:tblW w:w="5495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2"/>
        <w:gridCol w:w="6340"/>
        <w:gridCol w:w="1324"/>
        <w:gridCol w:w="573"/>
        <w:gridCol w:w="1218"/>
        <w:gridCol w:w="944"/>
        <w:gridCol w:w="950"/>
        <w:gridCol w:w="1135"/>
        <w:gridCol w:w="1273"/>
        <w:gridCol w:w="1200"/>
      </w:tblGrid>
      <w:tr w:rsidR="000D64D8" w:rsidRPr="002D30BA" w14:paraId="232A0266" w14:textId="77777777" w:rsidTr="00E17030">
        <w:trPr>
          <w:trHeight w:val="789"/>
        </w:trPr>
        <w:tc>
          <w:tcPr>
            <w:tcW w:w="137" w:type="pct"/>
            <w:shd w:val="clear" w:color="auto" w:fill="FFFFFF"/>
            <w:vAlign w:val="center"/>
          </w:tcPr>
          <w:p w14:paraId="22F5FDCE" w14:textId="77777777" w:rsidR="000D64D8" w:rsidRPr="002D30BA" w:rsidRDefault="000D64D8" w:rsidP="00E1703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30BA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61" w:type="pct"/>
            <w:shd w:val="clear" w:color="auto" w:fill="FFFFFF"/>
            <w:vAlign w:val="center"/>
          </w:tcPr>
          <w:p w14:paraId="52167D42" w14:textId="77777777" w:rsidR="000D64D8" w:rsidRPr="002D30BA" w:rsidRDefault="000D64D8" w:rsidP="00E17030">
            <w:pPr>
              <w:keepNext/>
              <w:spacing w:before="240" w:after="60"/>
              <w:jc w:val="center"/>
              <w:outlineLvl w:val="0"/>
              <w:rPr>
                <w:rFonts w:ascii="Times New Roman" w:hAnsi="Times New Roman"/>
                <w:b/>
                <w:bCs/>
                <w:kern w:val="32"/>
                <w:sz w:val="20"/>
                <w:szCs w:val="20"/>
              </w:rPr>
            </w:pPr>
            <w:r w:rsidRPr="002D30BA">
              <w:rPr>
                <w:rFonts w:ascii="Times New Roman" w:hAnsi="Times New Roman"/>
                <w:b/>
                <w:bCs/>
                <w:kern w:val="32"/>
                <w:sz w:val="20"/>
                <w:szCs w:val="20"/>
              </w:rPr>
              <w:t>Nazwa zestawu</w:t>
            </w:r>
          </w:p>
          <w:p w14:paraId="43D03A5F" w14:textId="77777777" w:rsidR="000D64D8" w:rsidRPr="002D30BA" w:rsidRDefault="000D64D8" w:rsidP="00E1703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FFFFFF"/>
            <w:vAlign w:val="center"/>
          </w:tcPr>
          <w:p w14:paraId="265C2FD8" w14:textId="77777777" w:rsidR="000D64D8" w:rsidRPr="002D30BA" w:rsidRDefault="000D64D8" w:rsidP="00E1703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30BA">
              <w:rPr>
                <w:rFonts w:ascii="Times New Roman" w:hAnsi="Times New Roman"/>
                <w:b/>
                <w:bCs/>
                <w:sz w:val="20"/>
                <w:szCs w:val="20"/>
              </w:rPr>
              <w:t>Ilość oznaczeń w opakowaniu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39A4496F" w14:textId="77777777" w:rsidR="000D64D8" w:rsidRPr="002D30BA" w:rsidRDefault="000D64D8" w:rsidP="00E1703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30BA">
              <w:rPr>
                <w:rFonts w:ascii="Times New Roman" w:hAnsi="Times New Roman"/>
                <w:b/>
                <w:bCs/>
                <w:sz w:val="20"/>
                <w:szCs w:val="20"/>
              </w:rPr>
              <w:t>Nr</w:t>
            </w:r>
          </w:p>
          <w:p w14:paraId="6EA20A9A" w14:textId="77777777" w:rsidR="000D64D8" w:rsidRPr="002D30BA" w:rsidRDefault="000D64D8" w:rsidP="00E1703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30BA">
              <w:rPr>
                <w:rFonts w:ascii="Times New Roman" w:hAnsi="Times New Roman"/>
                <w:b/>
                <w:bCs/>
                <w:sz w:val="20"/>
                <w:szCs w:val="20"/>
              </w:rPr>
              <w:t>kat.</w:t>
            </w:r>
          </w:p>
          <w:p w14:paraId="597DA9A2" w14:textId="77777777" w:rsidR="000D64D8" w:rsidRPr="002D30BA" w:rsidRDefault="000D64D8" w:rsidP="00E1703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14:paraId="44E19713" w14:textId="77777777" w:rsidR="000D64D8" w:rsidRPr="002D30BA" w:rsidRDefault="000D64D8" w:rsidP="00E1703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30BA">
              <w:rPr>
                <w:rFonts w:ascii="Times New Roman" w:hAnsi="Times New Roman"/>
                <w:b/>
                <w:bCs/>
                <w:sz w:val="20"/>
                <w:szCs w:val="20"/>
              </w:rPr>
              <w:t>Ilość oznaczeń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na</w:t>
            </w:r>
            <w:r w:rsidRPr="002D30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36 </w:t>
            </w:r>
            <w:proofErr w:type="spellStart"/>
            <w:r w:rsidRPr="002D30BA">
              <w:rPr>
                <w:rFonts w:ascii="Times New Roman" w:hAnsi="Times New Roman"/>
                <w:b/>
                <w:bCs/>
                <w:sz w:val="20"/>
                <w:szCs w:val="20"/>
              </w:rPr>
              <w:t>miesiecy</w:t>
            </w:r>
            <w:proofErr w:type="spellEnd"/>
          </w:p>
        </w:tc>
        <w:tc>
          <w:tcPr>
            <w:tcW w:w="307" w:type="pct"/>
            <w:shd w:val="clear" w:color="auto" w:fill="FFFFFF"/>
            <w:vAlign w:val="center"/>
          </w:tcPr>
          <w:p w14:paraId="1D6D8AF9" w14:textId="77777777" w:rsidR="000D64D8" w:rsidRPr="002D30BA" w:rsidRDefault="000D64D8" w:rsidP="00E1703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Ilość op.</w:t>
            </w:r>
          </w:p>
          <w:p w14:paraId="0E79287C" w14:textId="77777777" w:rsidR="000D64D8" w:rsidRPr="002D30BA" w:rsidRDefault="000D64D8" w:rsidP="00E1703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30BA">
              <w:rPr>
                <w:rFonts w:ascii="Times New Roman" w:hAnsi="Times New Roman"/>
                <w:b/>
                <w:bCs/>
                <w:sz w:val="20"/>
                <w:szCs w:val="20"/>
              </w:rPr>
              <w:t>na 36 miesięcy</w:t>
            </w:r>
          </w:p>
        </w:tc>
        <w:tc>
          <w:tcPr>
            <w:tcW w:w="309" w:type="pct"/>
            <w:shd w:val="clear" w:color="auto" w:fill="FFFFFF"/>
            <w:vAlign w:val="center"/>
          </w:tcPr>
          <w:p w14:paraId="5912CF19" w14:textId="77777777" w:rsidR="000D64D8" w:rsidRPr="002D30BA" w:rsidRDefault="000D64D8" w:rsidP="00E1703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30BA">
              <w:rPr>
                <w:rFonts w:ascii="Times New Roman" w:hAnsi="Times New Roman"/>
                <w:b/>
                <w:bCs/>
                <w:sz w:val="20"/>
                <w:szCs w:val="20"/>
              </w:rPr>
              <w:t>Wartość jedn. netto</w:t>
            </w:r>
          </w:p>
        </w:tc>
        <w:tc>
          <w:tcPr>
            <w:tcW w:w="369" w:type="pct"/>
            <w:shd w:val="clear" w:color="auto" w:fill="FFFFFF"/>
            <w:vAlign w:val="center"/>
          </w:tcPr>
          <w:p w14:paraId="419FD8CF" w14:textId="77777777" w:rsidR="000D64D8" w:rsidRPr="002D30BA" w:rsidRDefault="000D64D8" w:rsidP="00E1703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30BA">
              <w:rPr>
                <w:rFonts w:ascii="Times New Roman" w:hAnsi="Times New Roman"/>
                <w:b/>
                <w:bCs/>
                <w:sz w:val="20"/>
                <w:szCs w:val="20"/>
              </w:rPr>
              <w:t>Wartość netto w PLN</w:t>
            </w:r>
          </w:p>
        </w:tc>
        <w:tc>
          <w:tcPr>
            <w:tcW w:w="414" w:type="pct"/>
            <w:shd w:val="clear" w:color="auto" w:fill="FFFFFF"/>
            <w:vAlign w:val="center"/>
          </w:tcPr>
          <w:p w14:paraId="2C4D582A" w14:textId="77777777" w:rsidR="000D64D8" w:rsidRPr="002D30BA" w:rsidRDefault="000D64D8" w:rsidP="00E1703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30BA">
              <w:rPr>
                <w:rFonts w:ascii="Times New Roman" w:hAnsi="Times New Roman"/>
                <w:b/>
                <w:bCs/>
                <w:sz w:val="20"/>
                <w:szCs w:val="20"/>
              </w:rPr>
              <w:t>Cena</w:t>
            </w:r>
          </w:p>
          <w:p w14:paraId="2E3C0A5E" w14:textId="77777777" w:rsidR="000D64D8" w:rsidRPr="002D30BA" w:rsidRDefault="000D64D8" w:rsidP="00E1703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30BA">
              <w:rPr>
                <w:rFonts w:ascii="Times New Roman" w:hAnsi="Times New Roman"/>
                <w:b/>
                <w:bCs/>
                <w:sz w:val="20"/>
                <w:szCs w:val="20"/>
              </w:rPr>
              <w:t>brutto w</w:t>
            </w:r>
          </w:p>
          <w:p w14:paraId="50667A16" w14:textId="77777777" w:rsidR="000D64D8" w:rsidRPr="002D30BA" w:rsidRDefault="000D64D8" w:rsidP="00E1703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30BA">
              <w:rPr>
                <w:rFonts w:ascii="Times New Roman" w:hAnsi="Times New Roman"/>
                <w:b/>
                <w:bCs/>
                <w:sz w:val="20"/>
                <w:szCs w:val="20"/>
              </w:rPr>
              <w:t>PLN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066671D7" w14:textId="77777777" w:rsidR="000D64D8" w:rsidRPr="002D30BA" w:rsidRDefault="000D64D8" w:rsidP="00E1703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30BA">
              <w:rPr>
                <w:rFonts w:ascii="Times New Roman" w:hAnsi="Times New Roman"/>
                <w:b/>
                <w:bCs/>
                <w:sz w:val="20"/>
                <w:szCs w:val="20"/>
              </w:rPr>
              <w:t>Termin ważności min 6 miesięcy</w:t>
            </w:r>
          </w:p>
        </w:tc>
      </w:tr>
      <w:tr w:rsidR="000D64D8" w:rsidRPr="002D30BA" w14:paraId="78DD9593" w14:textId="77777777" w:rsidTr="00E17030">
        <w:trPr>
          <w:trHeight w:val="1484"/>
        </w:trPr>
        <w:tc>
          <w:tcPr>
            <w:tcW w:w="137" w:type="pct"/>
            <w:vAlign w:val="center"/>
          </w:tcPr>
          <w:p w14:paraId="1DAACCDD" w14:textId="77777777" w:rsidR="000D64D8" w:rsidRPr="002D30BA" w:rsidRDefault="000D64D8" w:rsidP="00E170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0B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061" w:type="pct"/>
            <w:vAlign w:val="center"/>
          </w:tcPr>
          <w:p w14:paraId="3C81EA8A" w14:textId="28978D26" w:rsidR="000D64D8" w:rsidRPr="002D30BA" w:rsidRDefault="000D64D8" w:rsidP="00E17030">
            <w:pPr>
              <w:rPr>
                <w:rFonts w:ascii="Times New Roman" w:hAnsi="Times New Roman"/>
                <w:sz w:val="20"/>
                <w:szCs w:val="20"/>
              </w:rPr>
            </w:pPr>
            <w:r w:rsidRPr="002D30BA">
              <w:rPr>
                <w:rFonts w:ascii="Times New Roman" w:hAnsi="Times New Roman"/>
                <w:sz w:val="20"/>
                <w:szCs w:val="20"/>
              </w:rPr>
              <w:t xml:space="preserve">Zestaw do wykrywania patogenów </w:t>
            </w:r>
            <w:r w:rsidR="007F7A06" w:rsidRPr="007F7A06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górnych</w:t>
            </w:r>
            <w:r w:rsidRPr="002D30BA">
              <w:rPr>
                <w:rFonts w:ascii="Times New Roman" w:hAnsi="Times New Roman"/>
                <w:sz w:val="20"/>
                <w:szCs w:val="20"/>
              </w:rPr>
              <w:t xml:space="preserve"> dróg oddechowych umożliwiający wykrycie następujących drobnoustrojów: Adenowirus,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Coronawirusy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: 229E, HKU1, OC43, NL63,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Enterowirus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, wirusy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Inflenza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: A, AH1, AH3, B, wirusy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Parainfluenza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 1, 2, 3, 4,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Metapneumowirus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, wirus RSV,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Rhinowirusy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Chlamydophila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pneumoniae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Mycoplasma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pneumoniae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Bordetella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pertussis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, SARS COV 2 – w wymazie z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nosogardzieli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30" w:type="pct"/>
            <w:vAlign w:val="center"/>
          </w:tcPr>
          <w:p w14:paraId="5F0F8912" w14:textId="77777777" w:rsidR="000D64D8" w:rsidRPr="002D30BA" w:rsidRDefault="000D64D8" w:rsidP="00E170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14:paraId="720A68AE" w14:textId="77777777" w:rsidR="000D64D8" w:rsidRPr="002D30BA" w:rsidRDefault="000D64D8" w:rsidP="00E170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  <w:vAlign w:val="center"/>
          </w:tcPr>
          <w:p w14:paraId="145EBFB1" w14:textId="77777777" w:rsidR="000D64D8" w:rsidRPr="002D30BA" w:rsidRDefault="000D64D8" w:rsidP="00E1703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1ECB31C" w14:textId="77777777" w:rsidR="000D64D8" w:rsidRPr="002D30BA" w:rsidRDefault="000D64D8" w:rsidP="00E1703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30BA">
              <w:rPr>
                <w:rFonts w:ascii="Times New Roman" w:hAnsi="Times New Roman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307" w:type="pct"/>
            <w:vAlign w:val="center"/>
          </w:tcPr>
          <w:p w14:paraId="409FE96D" w14:textId="77777777" w:rsidR="000D64D8" w:rsidRPr="002D30BA" w:rsidRDefault="000D64D8" w:rsidP="00E1703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14:paraId="51CAD389" w14:textId="77777777" w:rsidR="000D64D8" w:rsidRPr="002D30BA" w:rsidRDefault="000D64D8" w:rsidP="00E170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14:paraId="6D221FE9" w14:textId="77777777" w:rsidR="000D64D8" w:rsidRPr="002D30BA" w:rsidRDefault="000D64D8" w:rsidP="00E170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14:paraId="512F121F" w14:textId="77777777" w:rsidR="000D64D8" w:rsidRPr="002D30BA" w:rsidRDefault="000D64D8" w:rsidP="00E170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14:paraId="15D71F6F" w14:textId="77777777" w:rsidR="000D64D8" w:rsidRPr="002D30BA" w:rsidRDefault="000D64D8" w:rsidP="00E170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4D8" w:rsidRPr="002D30BA" w14:paraId="077AB3D1" w14:textId="77777777" w:rsidTr="00E17030">
        <w:trPr>
          <w:trHeight w:val="2400"/>
        </w:trPr>
        <w:tc>
          <w:tcPr>
            <w:tcW w:w="137" w:type="pct"/>
            <w:vAlign w:val="center"/>
          </w:tcPr>
          <w:p w14:paraId="67C027B4" w14:textId="77777777" w:rsidR="000D64D8" w:rsidRPr="002D30BA" w:rsidRDefault="000D64D8" w:rsidP="00E170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0B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061" w:type="pct"/>
            <w:vAlign w:val="center"/>
          </w:tcPr>
          <w:p w14:paraId="51C0159B" w14:textId="77777777" w:rsidR="000D64D8" w:rsidRPr="002D30BA" w:rsidRDefault="000D64D8" w:rsidP="00E17030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2D30BA">
              <w:rPr>
                <w:rFonts w:ascii="Times New Roman" w:hAnsi="Times New Roman"/>
                <w:sz w:val="20"/>
                <w:szCs w:val="20"/>
              </w:rPr>
              <w:t xml:space="preserve">Zestaw do wykrywania patogenów jelitowych, umożliwiający wykrycie następujących drobnoustrojów w kale: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Campylobacter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jejuni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, coli i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upsaliensis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), Clostridium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difficile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toxin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 A/B),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Plesiomonas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shigelloides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, Salmonella,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Yersinia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enterocolitica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Vibrio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parahaemolyticus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vulnificus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cholerae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>),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Vibrio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cholerae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Diarrheagenic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 E. coli/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Shigella,Enteroaggregative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 E. coli (EAEC),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Enteropathogenic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 E. coli (EPEC),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Enterotoxigenic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 E. coli (ETEC)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lt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st,Shiga-like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toxin-producing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 E. coli (STEC) stx1/stx2, E. coli O157,Shigella/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Enteroinvasive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 E. coli (EIEC),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Cryptosporidium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Cyclospora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cayetanensis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Entamoeba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histolytica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D30BA">
              <w:rPr>
                <w:rFonts w:ascii="Times New Roman" w:hAnsi="Times New Roman"/>
                <w:sz w:val="20"/>
                <w:szCs w:val="20"/>
                <w:lang w:val="it-IT"/>
              </w:rPr>
              <w:t>Giardia lamblia, Adenovirus F 40/41, Astrovirus, Norovirus GI/GII, Rotavirus A,Sapovirus (I, II, IV and V).</w:t>
            </w:r>
          </w:p>
        </w:tc>
        <w:tc>
          <w:tcPr>
            <w:tcW w:w="430" w:type="pct"/>
            <w:vAlign w:val="center"/>
          </w:tcPr>
          <w:p w14:paraId="5109C6C1" w14:textId="77777777" w:rsidR="000D64D8" w:rsidRPr="002D30BA" w:rsidRDefault="000D64D8" w:rsidP="00E170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14:paraId="7F1AC615" w14:textId="77777777" w:rsidR="000D64D8" w:rsidRPr="002D30BA" w:rsidRDefault="000D64D8" w:rsidP="00E170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  <w:vAlign w:val="center"/>
          </w:tcPr>
          <w:p w14:paraId="412E0A04" w14:textId="77777777" w:rsidR="000D64D8" w:rsidRPr="002D30BA" w:rsidRDefault="000D64D8" w:rsidP="00E1703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30BA">
              <w:rPr>
                <w:rFonts w:ascii="Times New Roman" w:hAnsi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307" w:type="pct"/>
            <w:vAlign w:val="center"/>
          </w:tcPr>
          <w:p w14:paraId="1E4314FF" w14:textId="77777777" w:rsidR="000D64D8" w:rsidRPr="002D30BA" w:rsidRDefault="000D64D8" w:rsidP="00E1703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14:paraId="0E893070" w14:textId="77777777" w:rsidR="000D64D8" w:rsidRPr="002D30BA" w:rsidRDefault="000D64D8" w:rsidP="00E170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14:paraId="4013FC33" w14:textId="77777777" w:rsidR="000D64D8" w:rsidRPr="002D30BA" w:rsidRDefault="000D64D8" w:rsidP="00E170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14:paraId="59BEFD41" w14:textId="77777777" w:rsidR="000D64D8" w:rsidRPr="002D30BA" w:rsidRDefault="000D64D8" w:rsidP="00E170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14:paraId="0F068075" w14:textId="77777777" w:rsidR="000D64D8" w:rsidRPr="002D30BA" w:rsidRDefault="000D64D8" w:rsidP="00E170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4D8" w:rsidRPr="002D30BA" w14:paraId="309B100C" w14:textId="77777777" w:rsidTr="00E17030">
        <w:trPr>
          <w:trHeight w:val="1536"/>
        </w:trPr>
        <w:tc>
          <w:tcPr>
            <w:tcW w:w="137" w:type="pct"/>
            <w:vAlign w:val="center"/>
          </w:tcPr>
          <w:p w14:paraId="09510BF5" w14:textId="77777777" w:rsidR="000D64D8" w:rsidRPr="002D30BA" w:rsidRDefault="000D64D8" w:rsidP="00E170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0BA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061" w:type="pct"/>
            <w:vAlign w:val="center"/>
          </w:tcPr>
          <w:p w14:paraId="05445DDF" w14:textId="77777777" w:rsidR="000D64D8" w:rsidRPr="002D30BA" w:rsidRDefault="000D64D8" w:rsidP="00E17030">
            <w:pPr>
              <w:rPr>
                <w:rFonts w:ascii="Times New Roman" w:hAnsi="Times New Roman"/>
                <w:sz w:val="20"/>
                <w:szCs w:val="20"/>
              </w:rPr>
            </w:pPr>
            <w:r w:rsidRPr="002D30BA">
              <w:rPr>
                <w:rFonts w:ascii="Times New Roman" w:hAnsi="Times New Roman"/>
                <w:sz w:val="20"/>
                <w:szCs w:val="20"/>
              </w:rPr>
              <w:t xml:space="preserve">Zestaw do wykrywania patogenów z płynu mózgowo-rdzeniowego umożliwiający wykrycie następujących drobnoustrojów: Escherichia coli K1,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Haemophilus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 influenza,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Listeria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monocytogenes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Neisseria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meningitidis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Streptococcus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agalactiae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Streptococcus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pneumoniae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Cytomegalovirus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 (CMV),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Cryptococcus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neoformans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gattii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Enterovirus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 ,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Herpes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simplex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virus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 1 (HSV-1),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Herpes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simplex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virus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 2 (HSV-2), Human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herpesvirus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 6 (HHV-6), Human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parechovirus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Varicella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 zoster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virus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 (VZV).</w:t>
            </w:r>
          </w:p>
        </w:tc>
        <w:tc>
          <w:tcPr>
            <w:tcW w:w="430" w:type="pct"/>
            <w:vAlign w:val="center"/>
          </w:tcPr>
          <w:p w14:paraId="2AD1D967" w14:textId="77777777" w:rsidR="000D64D8" w:rsidRPr="002D30BA" w:rsidRDefault="000D64D8" w:rsidP="00E170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14:paraId="4F8E1065" w14:textId="77777777" w:rsidR="000D64D8" w:rsidRPr="002D30BA" w:rsidRDefault="000D64D8" w:rsidP="00E170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  <w:vAlign w:val="center"/>
          </w:tcPr>
          <w:p w14:paraId="1817D394" w14:textId="77777777" w:rsidR="000D64D8" w:rsidRPr="002D30BA" w:rsidRDefault="000D64D8" w:rsidP="00E1703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30BA">
              <w:rPr>
                <w:rFonts w:ascii="Times New Roman" w:hAnsi="Times New Roman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307" w:type="pct"/>
            <w:vAlign w:val="center"/>
          </w:tcPr>
          <w:p w14:paraId="651C82EB" w14:textId="77777777" w:rsidR="000D64D8" w:rsidRPr="002D30BA" w:rsidRDefault="000D64D8" w:rsidP="00E1703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14:paraId="11D76D61" w14:textId="77777777" w:rsidR="000D64D8" w:rsidRPr="002D30BA" w:rsidRDefault="000D64D8" w:rsidP="00E170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14:paraId="108BED52" w14:textId="77777777" w:rsidR="000D64D8" w:rsidRPr="002D30BA" w:rsidRDefault="000D64D8" w:rsidP="00E170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14:paraId="631C166A" w14:textId="77777777" w:rsidR="000D64D8" w:rsidRPr="002D30BA" w:rsidRDefault="000D64D8" w:rsidP="00E170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14:paraId="4794C01E" w14:textId="77777777" w:rsidR="000D64D8" w:rsidRPr="002D30BA" w:rsidRDefault="000D64D8" w:rsidP="00E170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4D8" w:rsidRPr="002D30BA" w14:paraId="4433C4F0" w14:textId="77777777" w:rsidTr="00E17030">
        <w:trPr>
          <w:trHeight w:val="850"/>
        </w:trPr>
        <w:tc>
          <w:tcPr>
            <w:tcW w:w="137" w:type="pct"/>
            <w:vAlign w:val="center"/>
          </w:tcPr>
          <w:p w14:paraId="47C36B55" w14:textId="77777777" w:rsidR="000D64D8" w:rsidRPr="002D30BA" w:rsidRDefault="000D64D8" w:rsidP="00E170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0B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061" w:type="pct"/>
            <w:vAlign w:val="center"/>
          </w:tcPr>
          <w:p w14:paraId="2EF986F4" w14:textId="77777777" w:rsidR="000D64D8" w:rsidRPr="002D30BA" w:rsidRDefault="000D64D8" w:rsidP="00E17030">
            <w:pPr>
              <w:rPr>
                <w:rFonts w:ascii="Times New Roman" w:hAnsi="Times New Roman"/>
                <w:sz w:val="20"/>
                <w:szCs w:val="20"/>
              </w:rPr>
            </w:pPr>
            <w:r w:rsidRPr="002D30BA">
              <w:rPr>
                <w:rFonts w:ascii="Times New Roman" w:hAnsi="Times New Roman"/>
                <w:sz w:val="20"/>
                <w:szCs w:val="20"/>
              </w:rPr>
              <w:t xml:space="preserve">Zestaw do wykrywania patogenów z płynu stawowego umożliwiający wykrycie co najmniej następujących drobnoustrojów: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Anaerococcus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prevotii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vaginalis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, Clostridium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perfringens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Cutibacterium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avidum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granulosum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Enterococcus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faecalis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Enterococcus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faecium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Finegoldia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magna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Parvimonas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 micra,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Peptoniphilus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Peptostreptococcus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anaerobius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Staphylococcus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aureus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Staphylococcus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lugdunensis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Streptococcus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spp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Bacteroides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fragilis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Citrobacter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, Kompleks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Enterobacter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cloacae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, Escherichia coli,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Haemophilus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influenzae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Kingella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kingae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Klebsiella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aerogenes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, Grupa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Klebsiella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pneumoniae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Morganella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morganii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Neisseria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gonorrhoeae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Proteus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spp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Pseudomonas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aeruginosa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, Salmonella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spp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Serratia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marcescens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>, geny oporności na antybiotyki.</w:t>
            </w:r>
          </w:p>
        </w:tc>
        <w:tc>
          <w:tcPr>
            <w:tcW w:w="430" w:type="pct"/>
            <w:vAlign w:val="center"/>
          </w:tcPr>
          <w:p w14:paraId="35BB07C6" w14:textId="77777777" w:rsidR="000D64D8" w:rsidRPr="002D30BA" w:rsidRDefault="000D64D8" w:rsidP="00E170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14:paraId="6325F531" w14:textId="77777777" w:rsidR="000D64D8" w:rsidRPr="002D30BA" w:rsidRDefault="000D64D8" w:rsidP="00E170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  <w:vAlign w:val="center"/>
          </w:tcPr>
          <w:p w14:paraId="423C56D5" w14:textId="77777777" w:rsidR="000D64D8" w:rsidRPr="002D30BA" w:rsidRDefault="000D64D8" w:rsidP="00E1703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30BA">
              <w:rPr>
                <w:rFonts w:ascii="Times New Roman" w:hAnsi="Times New Roman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307" w:type="pct"/>
            <w:vAlign w:val="center"/>
          </w:tcPr>
          <w:p w14:paraId="1FDBF0CA" w14:textId="77777777" w:rsidR="000D64D8" w:rsidRPr="002D30BA" w:rsidRDefault="000D64D8" w:rsidP="00E1703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14:paraId="53B12CD4" w14:textId="77777777" w:rsidR="000D64D8" w:rsidRPr="002D30BA" w:rsidRDefault="000D64D8" w:rsidP="00E170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14:paraId="4F11AABD" w14:textId="77777777" w:rsidR="000D64D8" w:rsidRPr="002D30BA" w:rsidRDefault="000D64D8" w:rsidP="00E170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14:paraId="73CFF9CF" w14:textId="77777777" w:rsidR="000D64D8" w:rsidRPr="002D30BA" w:rsidRDefault="000D64D8" w:rsidP="00E170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14:paraId="0CAF82A6" w14:textId="77777777" w:rsidR="000D64D8" w:rsidRPr="002D30BA" w:rsidRDefault="000D64D8" w:rsidP="00E170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4D8" w:rsidRPr="002D30BA" w14:paraId="73E88E4C" w14:textId="77777777" w:rsidTr="00E17030">
        <w:trPr>
          <w:trHeight w:val="1536"/>
        </w:trPr>
        <w:tc>
          <w:tcPr>
            <w:tcW w:w="137" w:type="pct"/>
            <w:vAlign w:val="center"/>
          </w:tcPr>
          <w:p w14:paraId="11171297" w14:textId="77777777" w:rsidR="000D64D8" w:rsidRPr="002D30BA" w:rsidRDefault="000D64D8" w:rsidP="00E170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0B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061" w:type="pct"/>
            <w:vAlign w:val="center"/>
          </w:tcPr>
          <w:p w14:paraId="3D30F7CF" w14:textId="77777777" w:rsidR="000D64D8" w:rsidRPr="002D30BA" w:rsidRDefault="000D64D8" w:rsidP="00E17030">
            <w:pPr>
              <w:rPr>
                <w:rFonts w:ascii="Times New Roman" w:hAnsi="Times New Roman"/>
                <w:sz w:val="20"/>
                <w:szCs w:val="20"/>
              </w:rPr>
            </w:pPr>
            <w:r w:rsidRPr="002D30BA">
              <w:rPr>
                <w:rFonts w:ascii="Times New Roman" w:hAnsi="Times New Roman"/>
                <w:sz w:val="20"/>
                <w:szCs w:val="20"/>
              </w:rPr>
              <w:t xml:space="preserve">Zestaw do wykrywania patogenów dolnych dróg oddechowych umożliwiający wykrycie co najmniej następujących drobnoustrojów: kompleks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Acinetobacter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calcoaceticus-baumannii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 , kompleks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Enterobacter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cloacae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, Escherichia coli,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Haemophilus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influenzae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Klebsiella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aerogenes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Klebsiella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oxytoca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, grupa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Klebsiella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pneumoniae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Moraxella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catarrhalis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Proteus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spp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Pseudomonas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aeruginosa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Serratia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marcescens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Staphylococcus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aureus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Streptococcus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agalactiae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Streptococcus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pneumoniae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Streptococcus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pyogenes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Chlamydophila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pneumoniae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Legionella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pneumophila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Mycoplasma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pneumoniae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Adenovirus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 ,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Coronavirus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 , Human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Metapneumovirus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, Human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Rhinovirus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Enterovirus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, Influenza A, Influenza B,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Parainfluenza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Virus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, Respiratory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Syncytial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Virus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 (RSV),MERS-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CoV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, Geny oporności: CTX-M, IMP, KPC, NDM, grupa OXA-48, VIM,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mecA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/C I MREJ - w próbkach: BAL (mini BAL), plwocina, aspirat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tchawiczy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30" w:type="pct"/>
            <w:vAlign w:val="center"/>
          </w:tcPr>
          <w:p w14:paraId="1A9F8895" w14:textId="77777777" w:rsidR="000D64D8" w:rsidRPr="002D30BA" w:rsidRDefault="000D64D8" w:rsidP="00E170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14:paraId="7547816F" w14:textId="77777777" w:rsidR="000D64D8" w:rsidRPr="002D30BA" w:rsidRDefault="000D64D8" w:rsidP="00E170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  <w:vAlign w:val="center"/>
          </w:tcPr>
          <w:p w14:paraId="533D8033" w14:textId="77777777" w:rsidR="000D64D8" w:rsidRPr="002D30BA" w:rsidRDefault="000D64D8" w:rsidP="00E1703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30BA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07" w:type="pct"/>
            <w:vAlign w:val="center"/>
          </w:tcPr>
          <w:p w14:paraId="796C0E8C" w14:textId="77777777" w:rsidR="000D64D8" w:rsidRPr="002D30BA" w:rsidRDefault="000D64D8" w:rsidP="00E1703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14:paraId="417711E3" w14:textId="77777777" w:rsidR="000D64D8" w:rsidRPr="002D30BA" w:rsidRDefault="000D64D8" w:rsidP="00E170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14:paraId="0FF60337" w14:textId="77777777" w:rsidR="000D64D8" w:rsidRPr="002D30BA" w:rsidRDefault="000D64D8" w:rsidP="00E170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14:paraId="6BE60EF9" w14:textId="77777777" w:rsidR="000D64D8" w:rsidRPr="002D30BA" w:rsidRDefault="000D64D8" w:rsidP="00E170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14:paraId="73D956EC" w14:textId="77777777" w:rsidR="000D64D8" w:rsidRPr="002D30BA" w:rsidRDefault="000D64D8" w:rsidP="00E170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4D8" w:rsidRPr="002D30BA" w14:paraId="744D3FEF" w14:textId="77777777" w:rsidTr="00E17030">
        <w:trPr>
          <w:trHeight w:val="1536"/>
        </w:trPr>
        <w:tc>
          <w:tcPr>
            <w:tcW w:w="137" w:type="pct"/>
            <w:vAlign w:val="center"/>
          </w:tcPr>
          <w:p w14:paraId="3BA7EF79" w14:textId="77777777" w:rsidR="000D64D8" w:rsidRPr="002D30BA" w:rsidRDefault="000D64D8" w:rsidP="00E170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0BA"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061" w:type="pct"/>
            <w:vAlign w:val="center"/>
          </w:tcPr>
          <w:p w14:paraId="349AC428" w14:textId="77777777" w:rsidR="000D64D8" w:rsidRPr="002D30BA" w:rsidRDefault="000D64D8" w:rsidP="00E17030">
            <w:pPr>
              <w:rPr>
                <w:rFonts w:ascii="Times New Roman" w:hAnsi="Times New Roman"/>
                <w:sz w:val="20"/>
                <w:szCs w:val="20"/>
              </w:rPr>
            </w:pPr>
            <w:r w:rsidRPr="002D30BA">
              <w:rPr>
                <w:rFonts w:ascii="Times New Roman" w:hAnsi="Times New Roman"/>
                <w:sz w:val="20"/>
                <w:szCs w:val="20"/>
              </w:rPr>
              <w:t xml:space="preserve">Zestaw do wykrywania patogenów bezpośrednio z dodatnich posiewów krwi, umożliwiający wykrycie co najmniej następujących drobnoustrojów: Kompleks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Acinetobacter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calcoaceticus-baumannii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Bacteroides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fragilis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Enterobacterales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Haemophilus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influenzae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Neisseria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meningitidis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Pseudomonas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aeruginosa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Stenotrophomonas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maltophilia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Enterococcus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faecalis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Enterococcus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faecium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Listeria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monocytogenes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Staphylococcus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0640C26" w14:textId="77777777" w:rsidR="000D64D8" w:rsidRPr="002D30BA" w:rsidRDefault="000D64D8" w:rsidP="00E17030">
            <w:pPr>
              <w:rPr>
                <w:rFonts w:ascii="Times New Roman" w:hAnsi="Times New Roman"/>
                <w:sz w:val="20"/>
                <w:szCs w:val="20"/>
              </w:rPr>
            </w:pPr>
            <w:r w:rsidRPr="002D30BA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Staphylococcus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aureus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Staphylococcus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epidermidis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Staphylococcus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lugdunensis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Streptococcus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Streptococcus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agalactiae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Streptococcus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pneumoniae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Streptococcus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pyogenes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), Candida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albicans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, Candida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auris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, Candida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glabrata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, Candida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krusei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, Candida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parapsilosis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, Candida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tropicalis</w:t>
            </w:r>
            <w:proofErr w:type="spellEnd"/>
          </w:p>
          <w:p w14:paraId="0932CA93" w14:textId="77777777" w:rsidR="000D64D8" w:rsidRPr="002D30BA" w:rsidRDefault="000D64D8" w:rsidP="00E170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Cryptococcus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neoformans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D30BA">
              <w:rPr>
                <w:rFonts w:ascii="Times New Roman" w:hAnsi="Times New Roman"/>
                <w:sz w:val="20"/>
                <w:szCs w:val="20"/>
              </w:rPr>
              <w:t>gattii</w:t>
            </w:r>
            <w:proofErr w:type="spellEnd"/>
            <w:r w:rsidRPr="002D30BA">
              <w:rPr>
                <w:rFonts w:ascii="Times New Roman" w:hAnsi="Times New Roman"/>
                <w:sz w:val="20"/>
                <w:szCs w:val="20"/>
              </w:rPr>
              <w:t>, geny oporności na antybiotyki.</w:t>
            </w:r>
          </w:p>
        </w:tc>
        <w:tc>
          <w:tcPr>
            <w:tcW w:w="430" w:type="pct"/>
            <w:vAlign w:val="center"/>
          </w:tcPr>
          <w:p w14:paraId="7C9228CA" w14:textId="77777777" w:rsidR="000D64D8" w:rsidRPr="002D30BA" w:rsidRDefault="000D64D8" w:rsidP="00E170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14:paraId="0E33C0DA" w14:textId="77777777" w:rsidR="000D64D8" w:rsidRPr="002D30BA" w:rsidRDefault="000D64D8" w:rsidP="00E170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  <w:vAlign w:val="center"/>
          </w:tcPr>
          <w:p w14:paraId="727A1B39" w14:textId="77777777" w:rsidR="000D64D8" w:rsidRPr="002D30BA" w:rsidRDefault="000D64D8" w:rsidP="00E1703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30BA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07" w:type="pct"/>
            <w:vAlign w:val="center"/>
          </w:tcPr>
          <w:p w14:paraId="5173441B" w14:textId="77777777" w:rsidR="000D64D8" w:rsidRPr="002D30BA" w:rsidRDefault="000D64D8" w:rsidP="00E1703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14:paraId="4E0896F3" w14:textId="77777777" w:rsidR="000D64D8" w:rsidRPr="002D30BA" w:rsidRDefault="000D64D8" w:rsidP="00E170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14:paraId="3A93CBA2" w14:textId="77777777" w:rsidR="000D64D8" w:rsidRPr="002D30BA" w:rsidRDefault="000D64D8" w:rsidP="00E170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14:paraId="52F7DA25" w14:textId="77777777" w:rsidR="000D64D8" w:rsidRPr="002D30BA" w:rsidRDefault="000D64D8" w:rsidP="00E170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bottom w:val="single" w:sz="4" w:space="0" w:color="auto"/>
            </w:tcBorders>
            <w:vAlign w:val="center"/>
          </w:tcPr>
          <w:p w14:paraId="0978A48C" w14:textId="77777777" w:rsidR="000D64D8" w:rsidRPr="002D30BA" w:rsidRDefault="000D64D8" w:rsidP="00E170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4D8" w:rsidRPr="002D30BA" w14:paraId="2BDDCA06" w14:textId="77777777" w:rsidTr="00E17030">
        <w:trPr>
          <w:trHeight w:val="564"/>
        </w:trPr>
        <w:tc>
          <w:tcPr>
            <w:tcW w:w="3826" w:type="pct"/>
            <w:gridSpan w:val="7"/>
            <w:vAlign w:val="center"/>
          </w:tcPr>
          <w:p w14:paraId="529AB30D" w14:textId="77777777" w:rsidR="000D64D8" w:rsidRPr="000D64D8" w:rsidRDefault="000D64D8" w:rsidP="00E17030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D64D8">
              <w:rPr>
                <w:rFonts w:ascii="Times New Roman" w:hAnsi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369" w:type="pct"/>
            <w:vAlign w:val="center"/>
          </w:tcPr>
          <w:p w14:paraId="13D3E40D" w14:textId="77777777" w:rsidR="000D64D8" w:rsidRPr="002D30BA" w:rsidRDefault="000D64D8" w:rsidP="00E170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14:paraId="42E07088" w14:textId="77777777" w:rsidR="000D64D8" w:rsidRPr="002D30BA" w:rsidRDefault="000D64D8" w:rsidP="00E170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bottom w:val="nil"/>
              <w:right w:val="nil"/>
            </w:tcBorders>
            <w:vAlign w:val="center"/>
          </w:tcPr>
          <w:p w14:paraId="3749F8E2" w14:textId="77777777" w:rsidR="000D64D8" w:rsidRPr="002D30BA" w:rsidRDefault="000D64D8" w:rsidP="00E170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F545C1A" w14:textId="0ACB7901" w:rsidR="000D64D8" w:rsidRDefault="000D64D8" w:rsidP="00CD0E69">
      <w:pPr>
        <w:pStyle w:val="Stopka"/>
        <w:rPr>
          <w:rFonts w:ascii="Times New Roman" w:hAnsi="Times New Roman" w:cs="Times New Roman"/>
          <w:sz w:val="16"/>
          <w:szCs w:val="16"/>
        </w:rPr>
      </w:pPr>
    </w:p>
    <w:p w14:paraId="3AEDCE3D" w14:textId="77777777" w:rsidR="00CD0E69" w:rsidRDefault="00CD0E69" w:rsidP="00CD0E69">
      <w:pPr>
        <w:pStyle w:val="Stopka"/>
        <w:rPr>
          <w:rFonts w:ascii="Times New Roman" w:hAnsi="Times New Roman" w:cs="Times New Roman"/>
          <w:sz w:val="16"/>
          <w:szCs w:val="16"/>
        </w:rPr>
      </w:pPr>
    </w:p>
    <w:p w14:paraId="225E3A0C" w14:textId="77777777" w:rsidR="000D64D8" w:rsidRDefault="000D64D8" w:rsidP="000D64D8">
      <w:pPr>
        <w:pStyle w:val="Stopka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5388" w:type="pct"/>
        <w:tblInd w:w="-42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801"/>
        <w:gridCol w:w="1547"/>
        <w:gridCol w:w="1478"/>
        <w:gridCol w:w="1562"/>
        <w:gridCol w:w="1858"/>
        <w:gridCol w:w="1834"/>
      </w:tblGrid>
      <w:tr w:rsidR="000D64D8" w:rsidRPr="00B419E0" w14:paraId="56E1A373" w14:textId="77777777" w:rsidTr="00E17030">
        <w:trPr>
          <w:trHeight w:val="762"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A7B8" w14:textId="77777777" w:rsidR="000D64D8" w:rsidRPr="00B419E0" w:rsidRDefault="000D64D8" w:rsidP="00E1703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19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FEAA6" w14:textId="77777777" w:rsidR="000D64D8" w:rsidRPr="00B419E0" w:rsidRDefault="000D64D8" w:rsidP="00E1703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19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9D3F9" w14:textId="77777777" w:rsidR="000D64D8" w:rsidRPr="00B419E0" w:rsidRDefault="000D64D8" w:rsidP="00E1703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19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Ilość zakupu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4996D" w14:textId="77777777" w:rsidR="000D64D8" w:rsidRDefault="000D64D8" w:rsidP="00E1703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19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Wartość jednostkowa netto za 1 miesiąc</w:t>
            </w:r>
          </w:p>
          <w:p w14:paraId="1205C011" w14:textId="57567D5F" w:rsidR="000D64D8" w:rsidRPr="00B419E0" w:rsidRDefault="000D64D8" w:rsidP="00E1703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19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60008" w14:textId="77777777" w:rsidR="000D64D8" w:rsidRPr="00B419E0" w:rsidRDefault="000D64D8" w:rsidP="00E1703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19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Wartość netto [zł]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BDAB1" w14:textId="77777777" w:rsidR="000D64D8" w:rsidRPr="00B419E0" w:rsidRDefault="000D64D8" w:rsidP="00E1703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19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Cena brutto [zł]</w:t>
            </w:r>
          </w:p>
        </w:tc>
      </w:tr>
      <w:tr w:rsidR="000D64D8" w:rsidRPr="00B419E0" w14:paraId="371BE6F8" w14:textId="77777777" w:rsidTr="00E17030">
        <w:trPr>
          <w:trHeight w:val="1825"/>
        </w:trPr>
        <w:tc>
          <w:tcPr>
            <w:tcW w:w="2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84E57" w14:textId="77777777" w:rsidR="000D64D8" w:rsidRPr="000D64D8" w:rsidRDefault="000D64D8" w:rsidP="000D64D8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D64D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Najem automatycznego </w:t>
            </w:r>
            <w:r w:rsidRPr="000D64D8">
              <w:rPr>
                <w:rFonts w:ascii="Times New Roman" w:hAnsi="Times New Roman"/>
                <w:b/>
                <w:sz w:val="20"/>
                <w:szCs w:val="20"/>
              </w:rPr>
              <w:t xml:space="preserve">analizatora </w:t>
            </w:r>
            <w:proofErr w:type="spellStart"/>
            <w:r w:rsidRPr="000D64D8">
              <w:rPr>
                <w:rFonts w:ascii="Times New Roman" w:hAnsi="Times New Roman"/>
                <w:b/>
                <w:sz w:val="20"/>
                <w:szCs w:val="20"/>
              </w:rPr>
              <w:t>multiplex</w:t>
            </w:r>
            <w:proofErr w:type="spellEnd"/>
            <w:r w:rsidRPr="000D64D8">
              <w:rPr>
                <w:rFonts w:ascii="Times New Roman" w:hAnsi="Times New Roman"/>
                <w:b/>
                <w:sz w:val="20"/>
                <w:szCs w:val="20"/>
              </w:rPr>
              <w:t xml:space="preserve"> PCR w systemie zamkniętym </w:t>
            </w:r>
            <w:r w:rsidRPr="000D64D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typ </w:t>
            </w:r>
            <w:r w:rsidRPr="000D64D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……………………</w:t>
            </w:r>
            <w:r w:rsidRPr="000D64D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, w cenę najmu wliczone zostały </w:t>
            </w:r>
            <w:r w:rsidRPr="00D75E02"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  <w:t>przeglądy techniczne analizatora,</w:t>
            </w:r>
            <w:r w:rsidRPr="000D64D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dojazd i roboczogodziny serwisanta, części zamienne oraz zużywalne w przypadku naprawy. </w:t>
            </w:r>
            <w:r w:rsidRPr="000D64D8">
              <w:rPr>
                <w:rFonts w:ascii="Times New Roman" w:hAnsi="Times New Roman"/>
                <w:b/>
                <w:sz w:val="20"/>
                <w:szCs w:val="20"/>
              </w:rPr>
              <w:t>Czynsz płatny od następnego dnia miesiąca następującego po dacie zainstalowania sprzętu potwie</w:t>
            </w:r>
            <w:bookmarkStart w:id="0" w:name="_GoBack"/>
            <w:bookmarkEnd w:id="0"/>
            <w:r w:rsidRPr="000D64D8">
              <w:rPr>
                <w:rFonts w:ascii="Times New Roman" w:hAnsi="Times New Roman"/>
                <w:b/>
                <w:sz w:val="20"/>
                <w:szCs w:val="20"/>
              </w:rPr>
              <w:t>rdzonego protokołem instalacji i przekazania  po zakończeniu umowy sprzęt odbierany na podstawie protokołu deinstalacji wzory w załączeniu.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23818" w14:textId="77777777" w:rsidR="000D64D8" w:rsidRPr="00B419E0" w:rsidRDefault="000D64D8" w:rsidP="00E170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9E0">
              <w:rPr>
                <w:rFonts w:ascii="Times New Roman" w:hAnsi="Times New Roman"/>
                <w:color w:val="000000"/>
                <w:sz w:val="20"/>
                <w:szCs w:val="20"/>
              </w:rPr>
              <w:t>m-c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EDE6A" w14:textId="77777777" w:rsidR="000D64D8" w:rsidRPr="00B419E0" w:rsidRDefault="000D64D8" w:rsidP="00E1703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19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75F59" w14:textId="77777777" w:rsidR="000D64D8" w:rsidRPr="00B419E0" w:rsidRDefault="000D64D8" w:rsidP="00E170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1C72E" w14:textId="77777777" w:rsidR="000D64D8" w:rsidRPr="00B419E0" w:rsidRDefault="000D64D8" w:rsidP="00E170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2EE46" w14:textId="77777777" w:rsidR="000D64D8" w:rsidRPr="00B419E0" w:rsidRDefault="000D64D8" w:rsidP="00E170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D64D8" w:rsidRPr="00B419E0" w14:paraId="723E3698" w14:textId="77777777" w:rsidTr="00E17030">
        <w:trPr>
          <w:trHeight w:val="300"/>
        </w:trPr>
        <w:tc>
          <w:tcPr>
            <w:tcW w:w="37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4789561" w14:textId="77777777" w:rsidR="000D64D8" w:rsidRPr="00B419E0" w:rsidRDefault="000D64D8" w:rsidP="00E1703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19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RAZEM ODCZYNNIKI I NAJEM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7898C" w14:textId="5D0D03C5" w:rsidR="000D64D8" w:rsidRPr="00B419E0" w:rsidRDefault="000D64D8" w:rsidP="00E1703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49B7E" w14:textId="11A0B358" w:rsidR="000D64D8" w:rsidRPr="00B419E0" w:rsidRDefault="000D64D8" w:rsidP="00E1703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D352DD6" w14:textId="500DE0D0" w:rsidR="000D64D8" w:rsidRDefault="000D64D8" w:rsidP="000D64D8">
      <w:pPr>
        <w:rPr>
          <w:rFonts w:ascii="Times New Roman" w:hAnsi="Times New Roman" w:cs="Times New Roman"/>
          <w:sz w:val="24"/>
        </w:rPr>
      </w:pPr>
    </w:p>
    <w:p w14:paraId="3F765F8F" w14:textId="77777777" w:rsidR="00CD0E69" w:rsidRDefault="00CD0E69" w:rsidP="000D64D8">
      <w:pPr>
        <w:rPr>
          <w:rFonts w:ascii="Times New Roman" w:hAnsi="Times New Roman" w:cs="Times New Roman"/>
          <w:sz w:val="24"/>
        </w:rPr>
      </w:pPr>
    </w:p>
    <w:tbl>
      <w:tblPr>
        <w:tblW w:w="1516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458"/>
      </w:tblGrid>
      <w:tr w:rsidR="000D64D8" w:rsidRPr="000D64D8" w14:paraId="6B6BB599" w14:textId="77777777" w:rsidTr="000D64D8">
        <w:tc>
          <w:tcPr>
            <w:tcW w:w="710" w:type="dxa"/>
          </w:tcPr>
          <w:p w14:paraId="623D209E" w14:textId="77777777" w:rsidR="000D64D8" w:rsidRPr="000D64D8" w:rsidRDefault="000D64D8" w:rsidP="000D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D64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Poz.</w:t>
            </w:r>
          </w:p>
        </w:tc>
        <w:tc>
          <w:tcPr>
            <w:tcW w:w="14458" w:type="dxa"/>
          </w:tcPr>
          <w:p w14:paraId="5E193240" w14:textId="77777777" w:rsidR="000D64D8" w:rsidRPr="000D64D8" w:rsidRDefault="000D64D8" w:rsidP="000D6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 w:bidi="en-US"/>
              </w:rPr>
            </w:pPr>
            <w:proofErr w:type="spellStart"/>
            <w:r w:rsidRPr="000D64D8">
              <w:rPr>
                <w:rFonts w:ascii="Times New Roman" w:eastAsia="Calibri" w:hAnsi="Times New Roman" w:cs="Times New Roman"/>
                <w:b/>
                <w:lang w:val="en-US" w:bidi="en-US"/>
              </w:rPr>
              <w:t>Wymagania</w:t>
            </w:r>
            <w:proofErr w:type="spellEnd"/>
            <w:r w:rsidRPr="000D64D8">
              <w:rPr>
                <w:rFonts w:ascii="Times New Roman" w:eastAsia="Calibri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0D64D8">
              <w:rPr>
                <w:rFonts w:ascii="Times New Roman" w:eastAsia="Calibri" w:hAnsi="Times New Roman" w:cs="Times New Roman"/>
                <w:b/>
                <w:lang w:val="en-US" w:bidi="en-US"/>
              </w:rPr>
              <w:t>dotyczące</w:t>
            </w:r>
            <w:proofErr w:type="spellEnd"/>
            <w:r w:rsidRPr="000D64D8">
              <w:rPr>
                <w:rFonts w:ascii="Times New Roman" w:eastAsia="Calibri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0D64D8">
              <w:rPr>
                <w:rFonts w:ascii="Times New Roman" w:eastAsia="Calibri" w:hAnsi="Times New Roman" w:cs="Times New Roman"/>
                <w:b/>
                <w:lang w:val="en-US" w:bidi="en-US"/>
              </w:rPr>
              <w:t>testów</w:t>
            </w:r>
            <w:proofErr w:type="spellEnd"/>
            <w:r w:rsidRPr="000D64D8">
              <w:rPr>
                <w:rFonts w:ascii="Times New Roman" w:eastAsia="Calibri" w:hAnsi="Times New Roman" w:cs="Times New Roman"/>
                <w:b/>
                <w:lang w:val="en-US" w:bidi="en-US"/>
              </w:rPr>
              <w:t xml:space="preserve">/ </w:t>
            </w:r>
            <w:proofErr w:type="spellStart"/>
            <w:r w:rsidRPr="000D64D8">
              <w:rPr>
                <w:rFonts w:ascii="Times New Roman" w:eastAsia="Calibri" w:hAnsi="Times New Roman" w:cs="Times New Roman"/>
                <w:b/>
                <w:lang w:val="en-US" w:bidi="en-US"/>
              </w:rPr>
              <w:t>analiz</w:t>
            </w:r>
            <w:proofErr w:type="spellEnd"/>
            <w:r w:rsidRPr="000D64D8">
              <w:rPr>
                <w:rFonts w:ascii="Times New Roman" w:eastAsia="Calibri" w:hAnsi="Times New Roman" w:cs="Times New Roman"/>
                <w:b/>
                <w:lang w:val="en-US" w:bidi="en-US"/>
              </w:rPr>
              <w:t>.</w:t>
            </w:r>
          </w:p>
          <w:p w14:paraId="07A9ADD3" w14:textId="77777777" w:rsidR="000D64D8" w:rsidRPr="000D64D8" w:rsidRDefault="000D64D8" w:rsidP="000D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137E32B3" w14:textId="77777777" w:rsidR="000D64D8" w:rsidRPr="000D64D8" w:rsidRDefault="000D64D8" w:rsidP="000D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0D64D8" w:rsidRPr="000D64D8" w14:paraId="3DFA5576" w14:textId="77777777" w:rsidTr="000D64D8">
        <w:tc>
          <w:tcPr>
            <w:tcW w:w="710" w:type="dxa"/>
          </w:tcPr>
          <w:p w14:paraId="1E228DBE" w14:textId="77777777" w:rsidR="000D64D8" w:rsidRPr="000D64D8" w:rsidRDefault="000D64D8" w:rsidP="000D64D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D64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</w:t>
            </w:r>
          </w:p>
        </w:tc>
        <w:tc>
          <w:tcPr>
            <w:tcW w:w="14458" w:type="dxa"/>
            <w:vAlign w:val="center"/>
          </w:tcPr>
          <w:p w14:paraId="2EA47FE0" w14:textId="77777777" w:rsidR="000D64D8" w:rsidRPr="000D64D8" w:rsidRDefault="000D64D8" w:rsidP="000D64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bidi="en-US"/>
              </w:rPr>
            </w:pPr>
            <w:r w:rsidRPr="000D64D8">
              <w:rPr>
                <w:rFonts w:ascii="Times New Roman" w:eastAsia="Calibri" w:hAnsi="Times New Roman" w:cs="Times New Roman"/>
                <w:b/>
                <w:bCs/>
                <w:lang w:bidi="en-US"/>
              </w:rPr>
              <w:t>Diagnostyka zakażeń krwi (SEPSA):</w:t>
            </w:r>
          </w:p>
          <w:p w14:paraId="77CA83A5" w14:textId="77777777" w:rsidR="000D64D8" w:rsidRPr="000D64D8" w:rsidRDefault="000D64D8" w:rsidP="000D64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bidi="en-US"/>
              </w:rPr>
            </w:pPr>
            <w:r w:rsidRPr="000D64D8">
              <w:rPr>
                <w:rFonts w:ascii="Times New Roman" w:eastAsia="Calibri" w:hAnsi="Times New Roman" w:cs="Times New Roman"/>
                <w:b/>
                <w:bCs/>
                <w:lang w:bidi="en-US"/>
              </w:rPr>
              <w:t xml:space="preserve">• </w:t>
            </w:r>
            <w:r w:rsidRPr="000D64D8">
              <w:rPr>
                <w:rFonts w:ascii="Times New Roman" w:eastAsia="Calibri" w:hAnsi="Times New Roman" w:cs="Times New Roman"/>
                <w:bCs/>
                <w:lang w:bidi="en-US"/>
              </w:rPr>
              <w:t>zestaw do identyfikacji bakterii, drożdżaków i wybranych mechanizmów oporności na antybiotyki z dodatnich posiewów krwi, zawierający m.in.:</w:t>
            </w:r>
          </w:p>
          <w:p w14:paraId="2F2957E3" w14:textId="77777777" w:rsidR="000D64D8" w:rsidRPr="000D64D8" w:rsidRDefault="000D64D8" w:rsidP="000D64D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Kompleks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Acinetobacter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,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calcoaceticus-baumannii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,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Bacteroides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fragilis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,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Enterobacterales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,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Haemophilus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influenzae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,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Neisseria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meningitidis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,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Pseudomonas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aeruginosa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,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Stenotrophomonas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maltophilia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,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Enterococcus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faecalis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,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Enterococcus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faecium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,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Listeria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monocytogenes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,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Staphylococcus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>.</w:t>
            </w:r>
          </w:p>
          <w:p w14:paraId="601D7E8C" w14:textId="77777777" w:rsidR="000D64D8" w:rsidRPr="000D64D8" w:rsidRDefault="000D64D8" w:rsidP="000D64D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0D64D8">
              <w:rPr>
                <w:rFonts w:ascii="Times New Roman" w:eastAsia="Calibri" w:hAnsi="Times New Roman" w:cs="Times New Roman"/>
                <w:lang w:bidi="en-US"/>
              </w:rPr>
              <w:t>(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Staphylococcus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aureus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,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Staphylococcus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epidermidis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,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Staphylococcus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lugdunensis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),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Streptococcus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 (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Streptococcus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agalactiae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,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Streptococcus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pneumoniae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,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Streptococcus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pyogenes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), Candida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albicans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, Candida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auris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, Candida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glabrata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, Candida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krusei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, Candida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parapsilosis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, Candida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tropicalis</w:t>
            </w:r>
            <w:proofErr w:type="spellEnd"/>
          </w:p>
          <w:p w14:paraId="668CADF4" w14:textId="77777777" w:rsidR="000D64D8" w:rsidRPr="000D64D8" w:rsidRDefault="000D64D8" w:rsidP="000D64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bidi="en-US"/>
              </w:rPr>
            </w:pP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Cryptococcus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neoformans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>/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gattii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>, geny oporności na antybiotyki.</w:t>
            </w:r>
          </w:p>
        </w:tc>
      </w:tr>
      <w:tr w:rsidR="000D64D8" w:rsidRPr="000D64D8" w14:paraId="00137B6D" w14:textId="77777777" w:rsidTr="000D64D8">
        <w:tc>
          <w:tcPr>
            <w:tcW w:w="710" w:type="dxa"/>
          </w:tcPr>
          <w:p w14:paraId="47AD7851" w14:textId="77777777" w:rsidR="000D64D8" w:rsidRPr="000D64D8" w:rsidRDefault="000D64D8" w:rsidP="000D64D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D64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2.</w:t>
            </w:r>
          </w:p>
        </w:tc>
        <w:tc>
          <w:tcPr>
            <w:tcW w:w="14458" w:type="dxa"/>
            <w:vAlign w:val="center"/>
          </w:tcPr>
          <w:p w14:paraId="64ED9D35" w14:textId="77777777" w:rsidR="000D64D8" w:rsidRPr="000D64D8" w:rsidRDefault="000D64D8" w:rsidP="000D64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bidi="en-US"/>
              </w:rPr>
            </w:pPr>
            <w:r w:rsidRPr="000D64D8">
              <w:rPr>
                <w:rFonts w:ascii="Times New Roman" w:eastAsia="Calibri" w:hAnsi="Times New Roman" w:cs="Times New Roman"/>
                <w:b/>
                <w:bCs/>
                <w:lang w:bidi="en-US"/>
              </w:rPr>
              <w:t>Diagnostyka zakażeń dolnych dróg oddechowych (zapalenie płuc i inne infekcje dolnych dróg oddechowych):</w:t>
            </w:r>
          </w:p>
          <w:p w14:paraId="0AB4D5AC" w14:textId="77777777" w:rsidR="000D64D8" w:rsidRPr="000D64D8" w:rsidRDefault="000D64D8" w:rsidP="000D64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bidi="en-US"/>
              </w:rPr>
            </w:pPr>
            <w:r w:rsidRPr="000D64D8">
              <w:rPr>
                <w:rFonts w:ascii="Times New Roman" w:eastAsia="Calibri" w:hAnsi="Times New Roman" w:cs="Times New Roman"/>
                <w:bCs/>
                <w:lang w:bidi="en-US"/>
              </w:rPr>
              <w:t xml:space="preserve">• zestaw do identyfikacji bakterii, wirusów i wybranych mechanizmów oporności na antybiotyki bezpośrednio z popłuczyn oskrzelowo-pęcherzykowych, </w:t>
            </w:r>
            <w:proofErr w:type="spellStart"/>
            <w:r w:rsidRPr="000D64D8">
              <w:rPr>
                <w:rFonts w:ascii="Times New Roman" w:eastAsia="Calibri" w:hAnsi="Times New Roman" w:cs="Times New Roman"/>
                <w:bCs/>
                <w:lang w:bidi="en-US"/>
              </w:rPr>
              <w:t>aspiratów</w:t>
            </w:r>
            <w:proofErr w:type="spellEnd"/>
            <w:r w:rsidRPr="000D64D8">
              <w:rPr>
                <w:rFonts w:ascii="Times New Roman" w:eastAsia="Calibri" w:hAnsi="Times New Roman" w:cs="Times New Roman"/>
                <w:bCs/>
                <w:lang w:bidi="en-US"/>
              </w:rPr>
              <w:t xml:space="preserve"> </w:t>
            </w:r>
            <w:proofErr w:type="spellStart"/>
            <w:r w:rsidRPr="000D64D8">
              <w:rPr>
                <w:rFonts w:ascii="Times New Roman" w:eastAsia="Calibri" w:hAnsi="Times New Roman" w:cs="Times New Roman"/>
                <w:bCs/>
                <w:lang w:bidi="en-US"/>
              </w:rPr>
              <w:t>tchawiczych</w:t>
            </w:r>
            <w:proofErr w:type="spellEnd"/>
            <w:r w:rsidRPr="000D64D8">
              <w:rPr>
                <w:rFonts w:ascii="Times New Roman" w:eastAsia="Calibri" w:hAnsi="Times New Roman" w:cs="Times New Roman"/>
                <w:bCs/>
                <w:lang w:bidi="en-US"/>
              </w:rPr>
              <w:t xml:space="preserve"> lub plwociny, zawierający m.in.:</w:t>
            </w:r>
          </w:p>
          <w:p w14:paraId="5675CBAC" w14:textId="77777777" w:rsidR="000D64D8" w:rsidRPr="000D64D8" w:rsidRDefault="000D64D8" w:rsidP="000D64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bidi="en-US"/>
              </w:rPr>
            </w:pPr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Kompleks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Acinetobacter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calcoaceticus-baumannii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 , kompleks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Enterobacter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cloacae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, Escherichia coli,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Haemophilus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influenzae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,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Klebsiella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aerogenes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,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Klebsiella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oxytoca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, grupa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Klebsiella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pneumoniae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,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Moraxella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catarrhalis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,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Proteus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spp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.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Pseudomonas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aeruginosa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,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Serratia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marcescens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,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Staphylococcus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aureus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,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Streptococcus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agalactiae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,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Streptococcus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pneumoniae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,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Streptococcus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pyogenes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,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Chlamydophila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pneumoniae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,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Legionella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pneumophila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,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Mycoplasma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pneumoniae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,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Adenovirus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 ,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Coronavirus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 , Human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Metapneumovirus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, Human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Rhinovirus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>/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Enterovirus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, Influenza A, Influenza B,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Parainfluenza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Virus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, Respiratory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Syncytial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Virus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 (RSV),MERS-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CoV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, Geny oporności: CTX-M, IMP, KPC, NDM, grupa OXA-48, VIM,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mecA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/C I MREJ - w próbkach: BAL (mini BAL), plwocina, aspirat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tchawiczy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>.</w:t>
            </w:r>
          </w:p>
        </w:tc>
      </w:tr>
      <w:tr w:rsidR="000D64D8" w:rsidRPr="000D64D8" w14:paraId="1ABE938A" w14:textId="77777777" w:rsidTr="000D64D8">
        <w:tc>
          <w:tcPr>
            <w:tcW w:w="710" w:type="dxa"/>
          </w:tcPr>
          <w:p w14:paraId="0672B455" w14:textId="77777777" w:rsidR="000D64D8" w:rsidRPr="000D64D8" w:rsidRDefault="000D64D8" w:rsidP="000D64D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D64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3.</w:t>
            </w:r>
          </w:p>
        </w:tc>
        <w:tc>
          <w:tcPr>
            <w:tcW w:w="14458" w:type="dxa"/>
            <w:vAlign w:val="center"/>
          </w:tcPr>
          <w:p w14:paraId="797CC90A" w14:textId="77777777" w:rsidR="000D64D8" w:rsidRPr="000D64D8" w:rsidRDefault="000D64D8" w:rsidP="000D64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bidi="en-US"/>
              </w:rPr>
            </w:pPr>
            <w:r w:rsidRPr="000D64D8">
              <w:rPr>
                <w:rFonts w:ascii="Times New Roman" w:eastAsia="Calibri" w:hAnsi="Times New Roman" w:cs="Times New Roman"/>
                <w:b/>
                <w:bCs/>
                <w:lang w:bidi="en-US"/>
              </w:rPr>
              <w:t>Diagnostyka zakażeń górnych dróg oddechowych:</w:t>
            </w:r>
          </w:p>
          <w:p w14:paraId="433979EA" w14:textId="77777777" w:rsidR="000D64D8" w:rsidRPr="000D64D8" w:rsidRDefault="000D64D8" w:rsidP="000D64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bidi="en-US"/>
              </w:rPr>
            </w:pPr>
            <w:r w:rsidRPr="000D64D8">
              <w:rPr>
                <w:rFonts w:ascii="Times New Roman" w:eastAsia="Calibri" w:hAnsi="Times New Roman" w:cs="Times New Roman"/>
                <w:bCs/>
                <w:lang w:bidi="en-US"/>
              </w:rPr>
              <w:t xml:space="preserve">• zestaw do identyfikacji bakterii i wirusów z wymazu z </w:t>
            </w:r>
            <w:proofErr w:type="spellStart"/>
            <w:r w:rsidRPr="000D64D8">
              <w:rPr>
                <w:rFonts w:ascii="Times New Roman" w:eastAsia="Calibri" w:hAnsi="Times New Roman" w:cs="Times New Roman"/>
                <w:bCs/>
                <w:lang w:bidi="en-US"/>
              </w:rPr>
              <w:t>nosogardzieli</w:t>
            </w:r>
            <w:proofErr w:type="spellEnd"/>
            <w:r w:rsidRPr="000D64D8">
              <w:rPr>
                <w:rFonts w:ascii="Times New Roman" w:eastAsia="Calibri" w:hAnsi="Times New Roman" w:cs="Times New Roman"/>
                <w:bCs/>
                <w:lang w:bidi="en-US"/>
              </w:rPr>
              <w:t xml:space="preserve"> w podłożu transportowym lub roztworze soli fizjologicznej, zawierający m.in.:</w:t>
            </w:r>
          </w:p>
          <w:p w14:paraId="0F06E266" w14:textId="77777777" w:rsidR="000D64D8" w:rsidRPr="000D64D8" w:rsidRDefault="000D64D8" w:rsidP="000D64D8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Adenowirus,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Coronawirusy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: 229E, HKU1, OC43, NL63,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Enterowirus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, wirusy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Inflenza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: A, AH1, AH3, B, wirusy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Parainfluenza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 1, 2, 3, 4,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Metapneumowirus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, wirus RSV,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Rhinowirusy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,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Chlamydophila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pneumoniae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,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Mycoplasma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pneumoniae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,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Bordetella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pertussis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, SARS COV 2 – </w:t>
            </w:r>
          </w:p>
          <w:p w14:paraId="1628151C" w14:textId="77777777" w:rsidR="000D64D8" w:rsidRPr="000D64D8" w:rsidRDefault="000D64D8" w:rsidP="000D64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0D64D8">
              <w:rPr>
                <w:rFonts w:ascii="Times New Roman" w:eastAsia="Calibri" w:hAnsi="Times New Roman" w:cs="Times New Roman"/>
                <w:lang w:val="en-US" w:bidi="en-US"/>
              </w:rPr>
              <w:t xml:space="preserve">w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val="en-US" w:bidi="en-US"/>
              </w:rPr>
              <w:t>wymazie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val="en-US" w:bidi="en-US"/>
              </w:rPr>
              <w:t xml:space="preserve"> z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val="en-US" w:bidi="en-US"/>
              </w:rPr>
              <w:t>nosogardzieli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val="en-US" w:bidi="en-US"/>
              </w:rPr>
              <w:t>.</w:t>
            </w:r>
          </w:p>
        </w:tc>
      </w:tr>
      <w:tr w:rsidR="000D64D8" w:rsidRPr="000D64D8" w14:paraId="5A297897" w14:textId="77777777" w:rsidTr="000D64D8">
        <w:tc>
          <w:tcPr>
            <w:tcW w:w="710" w:type="dxa"/>
          </w:tcPr>
          <w:p w14:paraId="1C2EC9BC" w14:textId="77777777" w:rsidR="000D64D8" w:rsidRPr="000D64D8" w:rsidRDefault="000D64D8" w:rsidP="000D64D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D64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4.</w:t>
            </w:r>
          </w:p>
        </w:tc>
        <w:tc>
          <w:tcPr>
            <w:tcW w:w="14458" w:type="dxa"/>
            <w:vAlign w:val="center"/>
          </w:tcPr>
          <w:p w14:paraId="49FDF867" w14:textId="77777777" w:rsidR="000D64D8" w:rsidRPr="000D64D8" w:rsidRDefault="000D64D8" w:rsidP="000D64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bidi="en-US"/>
              </w:rPr>
            </w:pPr>
            <w:r w:rsidRPr="000D64D8">
              <w:rPr>
                <w:rFonts w:ascii="Times New Roman" w:eastAsia="Calibri" w:hAnsi="Times New Roman" w:cs="Times New Roman"/>
                <w:b/>
                <w:bCs/>
                <w:lang w:bidi="en-US"/>
              </w:rPr>
              <w:t>Diagnostyka zakażeń ośrodkowego układu nerwowego:</w:t>
            </w:r>
          </w:p>
          <w:p w14:paraId="2F2F6FB8" w14:textId="77777777" w:rsidR="000D64D8" w:rsidRPr="000D64D8" w:rsidRDefault="000D64D8" w:rsidP="000D64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bidi="en-US"/>
              </w:rPr>
            </w:pPr>
            <w:r w:rsidRPr="000D64D8">
              <w:rPr>
                <w:rFonts w:ascii="Times New Roman" w:eastAsia="Calibri" w:hAnsi="Times New Roman" w:cs="Times New Roman"/>
                <w:b/>
                <w:bCs/>
                <w:lang w:bidi="en-US"/>
              </w:rPr>
              <w:t xml:space="preserve">• </w:t>
            </w:r>
            <w:r w:rsidRPr="000D64D8">
              <w:rPr>
                <w:rFonts w:ascii="Times New Roman" w:eastAsia="Calibri" w:hAnsi="Times New Roman" w:cs="Times New Roman"/>
                <w:bCs/>
                <w:lang w:bidi="en-US"/>
              </w:rPr>
              <w:t>zestaw do identyfikacji bakterii, wirusów i wybranych drożdżaków bezpośrednio z płynu mózgowo-rdzeniowego zawierający m.in.:</w:t>
            </w:r>
          </w:p>
          <w:p w14:paraId="49DDB9B0" w14:textId="77777777" w:rsidR="000D64D8" w:rsidRPr="000D64D8" w:rsidRDefault="000D64D8" w:rsidP="000D64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bidi="en-US"/>
              </w:rPr>
            </w:pPr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Escherichia coli K1,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Haemophilus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 influenza,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Listeria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monocytogenes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,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Neisseria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meningitidis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,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Streptococcus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agalactiae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,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Streptococcus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pneumoniae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,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Cytomegalovirus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 (CMV),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Cryptococcus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neoformans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>/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gattii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,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Enterovirus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 ,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Herpes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simplex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virus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 1 (HSV-1),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Herpes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simplex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virus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 2 (HSV-2), Human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herpesvirus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 6 (HHV-6), Human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parechovirus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,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Varicella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 zoster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virus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 (VZV).</w:t>
            </w:r>
          </w:p>
        </w:tc>
      </w:tr>
      <w:tr w:rsidR="000D64D8" w:rsidRPr="000D64D8" w14:paraId="21A7E3FB" w14:textId="77777777" w:rsidTr="000D64D8">
        <w:tc>
          <w:tcPr>
            <w:tcW w:w="710" w:type="dxa"/>
          </w:tcPr>
          <w:p w14:paraId="04042907" w14:textId="77777777" w:rsidR="000D64D8" w:rsidRPr="000D64D8" w:rsidRDefault="000D64D8" w:rsidP="000D64D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D64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5.</w:t>
            </w:r>
          </w:p>
        </w:tc>
        <w:tc>
          <w:tcPr>
            <w:tcW w:w="14458" w:type="dxa"/>
            <w:vAlign w:val="center"/>
          </w:tcPr>
          <w:p w14:paraId="2EA6A1CC" w14:textId="77777777" w:rsidR="000D64D8" w:rsidRPr="000D64D8" w:rsidRDefault="000D64D8" w:rsidP="000D64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bidi="en-US"/>
              </w:rPr>
            </w:pPr>
            <w:r w:rsidRPr="000D64D8">
              <w:rPr>
                <w:rFonts w:ascii="Times New Roman" w:eastAsia="Calibri" w:hAnsi="Times New Roman" w:cs="Times New Roman"/>
                <w:b/>
                <w:bCs/>
                <w:lang w:bidi="en-US"/>
              </w:rPr>
              <w:t>Diagnostyka zakażeń przewodu pokarmowego:</w:t>
            </w:r>
          </w:p>
          <w:p w14:paraId="4999E80D" w14:textId="77777777" w:rsidR="000D64D8" w:rsidRPr="000D64D8" w:rsidRDefault="000D64D8" w:rsidP="000D64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bidi="en-US"/>
              </w:rPr>
            </w:pPr>
            <w:r w:rsidRPr="000D64D8">
              <w:rPr>
                <w:rFonts w:ascii="Times New Roman" w:eastAsia="Calibri" w:hAnsi="Times New Roman" w:cs="Times New Roman"/>
                <w:bCs/>
                <w:lang w:bidi="en-US"/>
              </w:rPr>
              <w:t>• zestaw do identyfikacji bakterii, wirusów i pasożytów, które najczęściej powodują zakaźną biegunkę i inne objawy żołądkowo-jelitowe z próbki kału w podłożu , zawierający m.in.:</w:t>
            </w:r>
          </w:p>
          <w:p w14:paraId="30680581" w14:textId="77777777" w:rsidR="000D64D8" w:rsidRPr="000D64D8" w:rsidRDefault="000D64D8" w:rsidP="000D64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bidi="en-US"/>
              </w:rPr>
            </w:pP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Campylobacter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 (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jejuni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, coli i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upsaliensis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), Clostridium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difficile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 (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toxin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 A/B),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Plesiomonas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shigelloides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, Salmonella,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Yersinia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enterocolitica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,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Vibrio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 (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parahaemolyticus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,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vulnificus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 i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cholerae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>),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Vibrio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cholerae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,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Diarrheagenic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 E. coli/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Shigella,Enteroaggregative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 E. coli (EAEC),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Enteropathogenic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 E. coli (EPEC),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Enterotoxigenic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 E. coli (ETEC)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lt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>/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st,Shiga-like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toxin-producing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 E. coli (STEC) stx1/stx2, E. coli O157,Shigella/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Enteroinvasive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 E. coli (EIEC),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lastRenderedPageBreak/>
              <w:t>Cryptosporidium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,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Cyclospora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cayetanensis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,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Entamoeba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histolytica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, </w:t>
            </w:r>
            <w:r w:rsidRPr="000D64D8">
              <w:rPr>
                <w:rFonts w:ascii="Times New Roman" w:eastAsia="Calibri" w:hAnsi="Times New Roman" w:cs="Times New Roman"/>
                <w:lang w:val="it-IT" w:bidi="en-US"/>
              </w:rPr>
              <w:t>Giardia lamblia, Adenovirus F 40/41, Astrovirus, Norovirus GI/GII, Rotavirus A,Sapovirus (I, II, IV and V).</w:t>
            </w:r>
          </w:p>
        </w:tc>
      </w:tr>
      <w:tr w:rsidR="000D64D8" w:rsidRPr="000D64D8" w14:paraId="42372B43" w14:textId="77777777" w:rsidTr="000D64D8">
        <w:tc>
          <w:tcPr>
            <w:tcW w:w="710" w:type="dxa"/>
          </w:tcPr>
          <w:p w14:paraId="40E1DDEA" w14:textId="77777777" w:rsidR="000D64D8" w:rsidRPr="000D64D8" w:rsidRDefault="000D64D8" w:rsidP="000D64D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D64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6.</w:t>
            </w:r>
          </w:p>
        </w:tc>
        <w:tc>
          <w:tcPr>
            <w:tcW w:w="14458" w:type="dxa"/>
            <w:vAlign w:val="center"/>
          </w:tcPr>
          <w:p w14:paraId="340B29A8" w14:textId="77777777" w:rsidR="000D64D8" w:rsidRPr="000D64D8" w:rsidRDefault="000D64D8" w:rsidP="000D64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bidi="en-US"/>
              </w:rPr>
            </w:pPr>
            <w:r w:rsidRPr="000D64D8">
              <w:rPr>
                <w:rFonts w:ascii="Times New Roman" w:eastAsia="Calibri" w:hAnsi="Times New Roman" w:cs="Times New Roman"/>
                <w:b/>
                <w:bCs/>
                <w:lang w:bidi="en-US"/>
              </w:rPr>
              <w:t>Diagnostyka zakażeń kostno-stawowych:</w:t>
            </w:r>
          </w:p>
          <w:p w14:paraId="2B49EF18" w14:textId="77777777" w:rsidR="000D64D8" w:rsidRPr="000D64D8" w:rsidRDefault="000D64D8" w:rsidP="000D64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bidi="en-US"/>
              </w:rPr>
            </w:pPr>
            <w:r w:rsidRPr="000D64D8">
              <w:rPr>
                <w:rFonts w:ascii="Times New Roman" w:eastAsia="Calibri" w:hAnsi="Times New Roman" w:cs="Times New Roman"/>
                <w:b/>
                <w:bCs/>
                <w:lang w:bidi="en-US"/>
              </w:rPr>
              <w:t xml:space="preserve">• </w:t>
            </w:r>
            <w:r w:rsidRPr="000D64D8">
              <w:rPr>
                <w:rFonts w:ascii="Times New Roman" w:eastAsia="Calibri" w:hAnsi="Times New Roman" w:cs="Times New Roman"/>
                <w:bCs/>
                <w:lang w:bidi="en-US"/>
              </w:rPr>
              <w:t>zestaw do identyfikacji bakterii, drożdżaków i wybranych mechanizmów oporności na antybiotyki bezpośrednio z płynu stawowego, zawierający m.in.:</w:t>
            </w:r>
          </w:p>
          <w:p w14:paraId="4E66361F" w14:textId="77777777" w:rsidR="000D64D8" w:rsidRPr="000D64D8" w:rsidRDefault="000D64D8" w:rsidP="000D64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bidi="en-US"/>
              </w:rPr>
            </w:pP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Anaerococcus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prevotii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>/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vaginalis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, Clostridium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perfringens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,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Cutibacterium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avidum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>/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granulosum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,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Enterococcus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faecalis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,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Enterococcus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faecium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,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Finegoldia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magna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,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Parvimonas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 micra,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Peptoniphilus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,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Peptostreptococcus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anaerobius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,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Staphylococcus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aureus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,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Staphylococcus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lugdunensis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,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Streptococcus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spp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.,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Bacteroides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fragilis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,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Citrobacter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, Kompleks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Enterobacter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cloacae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, Escherichia coli,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Haemophilus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influenzae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,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Kingella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kingae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,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Klebsiella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aerogenes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, Grupa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Klebsiella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pneumoniae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,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Morganella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morganii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,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Neisseria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gonorrhoeae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,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Proteus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spp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.,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Pseudomonas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aeruginosa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, Salmonella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spp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.,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Serratia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 xml:space="preserve"> </w:t>
            </w:r>
            <w:proofErr w:type="spellStart"/>
            <w:r w:rsidRPr="000D64D8">
              <w:rPr>
                <w:rFonts w:ascii="Times New Roman" w:eastAsia="Calibri" w:hAnsi="Times New Roman" w:cs="Times New Roman"/>
                <w:lang w:bidi="en-US"/>
              </w:rPr>
              <w:t>marcescens</w:t>
            </w:r>
            <w:proofErr w:type="spellEnd"/>
            <w:r w:rsidRPr="000D64D8">
              <w:rPr>
                <w:rFonts w:ascii="Times New Roman" w:eastAsia="Calibri" w:hAnsi="Times New Roman" w:cs="Times New Roman"/>
                <w:lang w:bidi="en-US"/>
              </w:rPr>
              <w:t>, geny oporności na antybiotyki.</w:t>
            </w:r>
          </w:p>
        </w:tc>
      </w:tr>
    </w:tbl>
    <w:p w14:paraId="7A225263" w14:textId="77777777" w:rsidR="000D64D8" w:rsidRPr="000D64D8" w:rsidRDefault="000D64D8" w:rsidP="000D64D8">
      <w:pPr>
        <w:rPr>
          <w:rFonts w:ascii="Times New Roman" w:hAnsi="Times New Roman" w:cs="Times New Roman"/>
          <w:sz w:val="24"/>
        </w:rPr>
      </w:pPr>
    </w:p>
    <w:sectPr w:rsidR="000D64D8" w:rsidRPr="000D64D8" w:rsidSect="000D64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C92"/>
    <w:rsid w:val="000D64D8"/>
    <w:rsid w:val="002564F4"/>
    <w:rsid w:val="007F7A06"/>
    <w:rsid w:val="00C04B82"/>
    <w:rsid w:val="00CD0E69"/>
    <w:rsid w:val="00D4722C"/>
    <w:rsid w:val="00D75C92"/>
    <w:rsid w:val="00D7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D2D6A"/>
  <w15:chartTrackingRefBased/>
  <w15:docId w15:val="{E39981C0-F322-41F3-B5FF-84B07B8C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D6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4D8"/>
  </w:style>
  <w:style w:type="paragraph" w:styleId="Tekstdymka">
    <w:name w:val="Balloon Text"/>
    <w:basedOn w:val="Normalny"/>
    <w:link w:val="TekstdymkaZnak"/>
    <w:uiPriority w:val="99"/>
    <w:semiHidden/>
    <w:unhideWhenUsed/>
    <w:rsid w:val="00D47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2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1396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Wieńska</dc:creator>
  <cp:keywords/>
  <dc:description/>
  <cp:lastModifiedBy>Edyta Wieńska</cp:lastModifiedBy>
  <cp:revision>16</cp:revision>
  <cp:lastPrinted>2024-06-11T10:10:00Z</cp:lastPrinted>
  <dcterms:created xsi:type="dcterms:W3CDTF">2024-04-15T09:44:00Z</dcterms:created>
  <dcterms:modified xsi:type="dcterms:W3CDTF">2024-06-11T10:15:00Z</dcterms:modified>
</cp:coreProperties>
</file>