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7016" w14:textId="2B8D8DDB" w:rsidR="00207FD2" w:rsidRDefault="00207FD2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ascii="Carlito" w:eastAsia="Carlito" w:hAnsi="Carlito" w:cs="Carlito"/>
          <w:b/>
          <w:bCs/>
          <w:sz w:val="28"/>
          <w:szCs w:val="28"/>
          <w:lang w:eastAsia="en-US"/>
        </w:rPr>
      </w:pPr>
      <w:r>
        <w:rPr>
          <w:rFonts w:eastAsia="Carlito"/>
          <w:b/>
          <w:bCs/>
          <w:sz w:val="28"/>
          <w:szCs w:val="28"/>
          <w:lang w:eastAsia="en-US"/>
        </w:rPr>
        <w:t>PARAMETRY GWARANTOWANE PRZEZ WYKONAWCĘ</w:t>
      </w:r>
    </w:p>
    <w:p w14:paraId="6DC0F1B4" w14:textId="77777777" w:rsidR="00207FD2" w:rsidRPr="005C743E" w:rsidRDefault="00207FD2" w:rsidP="006838EC">
      <w:pPr>
        <w:widowControl w:val="0"/>
        <w:autoSpaceDE w:val="0"/>
        <w:autoSpaceDN w:val="0"/>
        <w:spacing w:before="360" w:after="360" w:line="240" w:lineRule="auto"/>
        <w:jc w:val="left"/>
        <w:outlineLvl w:val="0"/>
        <w:rPr>
          <w:rFonts w:eastAsia="Carlito"/>
          <w:b/>
          <w:bCs/>
          <w:lang w:eastAsia="en-US"/>
        </w:rPr>
      </w:pPr>
      <w:r w:rsidRPr="005C743E">
        <w:rPr>
          <w:rFonts w:eastAsia="Carlito"/>
          <w:b/>
          <w:bCs/>
          <w:lang w:eastAsia="en-US"/>
        </w:rPr>
        <w:t>INFORMACJE OGÓLNE</w:t>
      </w:r>
    </w:p>
    <w:p w14:paraId="1E056DF2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b/>
          <w:bCs/>
          <w:lang w:eastAsia="en-US"/>
        </w:rPr>
      </w:pPr>
      <w:r w:rsidRPr="005F5BA6">
        <w:rPr>
          <w:rFonts w:eastAsia="Carlito"/>
          <w:b/>
          <w:bCs/>
          <w:lang w:eastAsia="en-US"/>
        </w:rPr>
        <w:t>Zamawiający:</w:t>
      </w:r>
    </w:p>
    <w:p w14:paraId="51579197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i/>
          <w:iCs/>
          <w:lang w:eastAsia="en-US"/>
        </w:rPr>
      </w:pPr>
      <w:r w:rsidRPr="005F5BA6">
        <w:rPr>
          <w:rFonts w:eastAsia="Carlito"/>
          <w:i/>
          <w:iCs/>
          <w:lang w:eastAsia="en-US"/>
        </w:rPr>
        <w:t>Krakowski Holding Komunalny S.A. w Krakowie</w:t>
      </w:r>
    </w:p>
    <w:p w14:paraId="27791BEF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ul. Jana Brożka 3, 30-347 Kraków</w:t>
      </w:r>
    </w:p>
    <w:p w14:paraId="6C315DA3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telefon: </w:t>
      </w:r>
      <w:r w:rsidRPr="005F5BA6">
        <w:rPr>
          <w:rFonts w:eastAsia="Carlito"/>
          <w:i/>
          <w:iCs/>
          <w:lang w:eastAsia="en-US"/>
        </w:rPr>
        <w:t>12 269 15 05</w:t>
      </w:r>
      <w:r w:rsidRPr="005F5BA6">
        <w:rPr>
          <w:rFonts w:eastAsia="Carlito"/>
          <w:lang w:eastAsia="en-US"/>
        </w:rPr>
        <w:t xml:space="preserve">, faks: </w:t>
      </w:r>
      <w:r w:rsidRPr="005F5BA6">
        <w:rPr>
          <w:rFonts w:eastAsia="Carlito"/>
          <w:i/>
          <w:iCs/>
          <w:lang w:eastAsia="en-US"/>
        </w:rPr>
        <w:t>12 395 77 34</w:t>
      </w:r>
    </w:p>
    <w:p w14:paraId="3CE230CC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e-mail: biuro@khk.krakow.pl</w:t>
      </w:r>
    </w:p>
    <w:p w14:paraId="4C76E23E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www. khk.krakow.pl</w:t>
      </w:r>
    </w:p>
    <w:p w14:paraId="07D24017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wpisany do Krajowego Rejestru Przedsiębiorstw prowadzonego przez:</w:t>
      </w:r>
    </w:p>
    <w:p w14:paraId="27F1647C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i/>
          <w:iCs/>
          <w:lang w:eastAsia="en-US"/>
        </w:rPr>
        <w:t>Sąd Rejonowy dla Krakowa- Śródmieścia</w:t>
      </w:r>
      <w:r w:rsidRPr="005F5BA6">
        <w:rPr>
          <w:rFonts w:eastAsia="Carlito"/>
          <w:lang w:eastAsia="en-US"/>
        </w:rPr>
        <w:t xml:space="preserve">, </w:t>
      </w:r>
    </w:p>
    <w:p w14:paraId="72A8B060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XI Wydział Gospodarczy Krajowego Rejestru Sądowego pod numerem </w:t>
      </w:r>
      <w:r w:rsidRPr="005F5BA6">
        <w:rPr>
          <w:rFonts w:eastAsia="Carlito"/>
          <w:i/>
          <w:iCs/>
          <w:lang w:eastAsia="en-US"/>
        </w:rPr>
        <w:t>0000006301</w:t>
      </w:r>
      <w:r w:rsidRPr="005F5BA6">
        <w:rPr>
          <w:rFonts w:eastAsia="Carlito"/>
          <w:lang w:eastAsia="en-US"/>
        </w:rPr>
        <w:t xml:space="preserve">, </w:t>
      </w:r>
    </w:p>
    <w:p w14:paraId="4C835014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będący płatnikiem VAT o numerze NIP: </w:t>
      </w:r>
      <w:r w:rsidRPr="005F5BA6">
        <w:rPr>
          <w:rFonts w:eastAsia="Carlito"/>
          <w:i/>
          <w:iCs/>
          <w:lang w:eastAsia="en-US"/>
        </w:rPr>
        <w:t>679-18-62-817</w:t>
      </w:r>
    </w:p>
    <w:p w14:paraId="64A3FD2F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</w:p>
    <w:p w14:paraId="0234DFD3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b/>
          <w:bCs/>
          <w:lang w:eastAsia="en-US"/>
        </w:rPr>
      </w:pPr>
      <w:r w:rsidRPr="005F5BA6">
        <w:rPr>
          <w:rFonts w:eastAsia="Carlito"/>
          <w:b/>
          <w:bCs/>
          <w:lang w:eastAsia="en-US"/>
        </w:rPr>
        <w:t>Lokalizacja inwestycji:</w:t>
      </w:r>
    </w:p>
    <w:p w14:paraId="417B5CC5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i/>
          <w:iCs/>
          <w:lang w:eastAsia="en-US"/>
        </w:rPr>
      </w:pPr>
      <w:r w:rsidRPr="005F5BA6">
        <w:rPr>
          <w:rFonts w:eastAsia="Carlito"/>
          <w:i/>
          <w:iCs/>
          <w:lang w:eastAsia="en-US"/>
        </w:rPr>
        <w:t>Zakład Termicznego Przekształcania Odpadów „EKOSPALARNIA KRAKÓW”</w:t>
      </w:r>
    </w:p>
    <w:p w14:paraId="34A2D779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ul. Jerzego Giedroycia 23, 31-981 Kraków</w:t>
      </w:r>
    </w:p>
    <w:p w14:paraId="663108A2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telefon: </w:t>
      </w:r>
      <w:r w:rsidRPr="005F5BA6">
        <w:rPr>
          <w:rFonts w:eastAsia="Carlito"/>
          <w:i/>
          <w:iCs/>
          <w:lang w:eastAsia="en-US"/>
        </w:rPr>
        <w:t>12 395 77 20</w:t>
      </w:r>
      <w:r w:rsidRPr="005F5BA6">
        <w:rPr>
          <w:rFonts w:eastAsia="Carlito"/>
          <w:lang w:eastAsia="en-US"/>
        </w:rPr>
        <w:t xml:space="preserve">, faks: </w:t>
      </w:r>
      <w:r w:rsidRPr="005F5BA6">
        <w:rPr>
          <w:rFonts w:eastAsia="Carlito"/>
          <w:i/>
          <w:iCs/>
          <w:lang w:eastAsia="en-US"/>
        </w:rPr>
        <w:t>12 395 77 34</w:t>
      </w:r>
    </w:p>
    <w:p w14:paraId="02251A3A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e-mail: biuro@khk.krakow.pl</w:t>
      </w:r>
    </w:p>
    <w:p w14:paraId="646BE1B5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www.khk.krakow.pl/pl/ekospalarnia</w:t>
      </w:r>
    </w:p>
    <w:p w14:paraId="19BED744" w14:textId="77777777" w:rsidR="00207FD2" w:rsidRPr="00A37074" w:rsidRDefault="00207FD2" w:rsidP="00207FD2">
      <w:pPr>
        <w:widowControl w:val="0"/>
        <w:autoSpaceDE w:val="0"/>
        <w:autoSpaceDN w:val="0"/>
        <w:spacing w:before="0" w:after="0" w:line="240" w:lineRule="auto"/>
        <w:jc w:val="left"/>
        <w:rPr>
          <w:rFonts w:ascii="Carlito" w:eastAsia="Carlito" w:hAnsi="Carlito" w:cs="Carlito"/>
          <w:b/>
          <w:bCs/>
          <w:lang w:val="en-GB" w:eastAsia="en-US"/>
        </w:rPr>
      </w:pPr>
      <w:r w:rsidRPr="00A37074">
        <w:rPr>
          <w:rFonts w:ascii="Carlito" w:eastAsia="Carlito" w:hAnsi="Carlito" w:cs="Carlito"/>
          <w:lang w:val="en-GB" w:eastAsia="en-US"/>
        </w:rPr>
        <w:br w:type="page"/>
      </w:r>
    </w:p>
    <w:p w14:paraId="02A6D760" w14:textId="4A383FA8" w:rsidR="00F10BEF" w:rsidRPr="00F10BEF" w:rsidRDefault="00F10BEF" w:rsidP="00F10BEF">
      <w:pPr>
        <w:pStyle w:val="Legenda"/>
        <w:keepNext/>
        <w:jc w:val="center"/>
        <w:rPr>
          <w:color w:val="auto"/>
          <w:sz w:val="20"/>
          <w:szCs w:val="20"/>
        </w:rPr>
      </w:pPr>
      <w:r w:rsidRPr="00F10BEF">
        <w:rPr>
          <w:color w:val="auto"/>
          <w:sz w:val="20"/>
          <w:szCs w:val="20"/>
        </w:rPr>
        <w:lastRenderedPageBreak/>
        <w:t xml:space="preserve">Tabela </w:t>
      </w:r>
      <w:r w:rsidRPr="00F10BEF">
        <w:rPr>
          <w:color w:val="auto"/>
          <w:sz w:val="20"/>
          <w:szCs w:val="20"/>
        </w:rPr>
        <w:fldChar w:fldCharType="begin"/>
      </w:r>
      <w:r w:rsidRPr="00F10BEF">
        <w:rPr>
          <w:color w:val="auto"/>
          <w:sz w:val="20"/>
          <w:szCs w:val="20"/>
        </w:rPr>
        <w:instrText xml:space="preserve"> SEQ Tabela \* ARABIC \s 1 </w:instrText>
      </w:r>
      <w:r w:rsidRPr="00F10BEF">
        <w:rPr>
          <w:color w:val="auto"/>
          <w:sz w:val="20"/>
          <w:szCs w:val="20"/>
        </w:rPr>
        <w:fldChar w:fldCharType="separate"/>
      </w:r>
      <w:r w:rsidRPr="00F10BEF">
        <w:rPr>
          <w:noProof/>
          <w:color w:val="auto"/>
          <w:sz w:val="20"/>
          <w:szCs w:val="20"/>
        </w:rPr>
        <w:t>1</w:t>
      </w:r>
      <w:r w:rsidRPr="00F10BEF">
        <w:rPr>
          <w:color w:val="auto"/>
          <w:sz w:val="20"/>
          <w:szCs w:val="20"/>
        </w:rPr>
        <w:fldChar w:fldCharType="end"/>
      </w:r>
      <w:r w:rsidRPr="00F10BEF">
        <w:rPr>
          <w:color w:val="auto"/>
          <w:sz w:val="20"/>
          <w:szCs w:val="20"/>
        </w:rPr>
        <w:t xml:space="preserve"> Parametry Gwarantowane przez Wykonawcę</w:t>
      </w:r>
    </w:p>
    <w:tbl>
      <w:tblPr>
        <w:tblStyle w:val="Tabela-Siatka"/>
        <w:tblW w:w="5000" w:type="pct"/>
        <w:tblLayout w:type="fixed"/>
        <w:tblLook w:val="06A0" w:firstRow="1" w:lastRow="0" w:firstColumn="1" w:lastColumn="0" w:noHBand="1" w:noVBand="1"/>
      </w:tblPr>
      <w:tblGrid>
        <w:gridCol w:w="4849"/>
        <w:gridCol w:w="1809"/>
        <w:gridCol w:w="1134"/>
        <w:gridCol w:w="1224"/>
      </w:tblGrid>
      <w:tr w:rsidR="00301093" w:rsidRPr="005C753A" w14:paraId="5F2A9F33" w14:textId="77777777" w:rsidTr="00301093">
        <w:trPr>
          <w:trHeight w:val="340"/>
          <w:tblHeader/>
        </w:trPr>
        <w:tc>
          <w:tcPr>
            <w:tcW w:w="2689" w:type="pct"/>
            <w:vAlign w:val="center"/>
          </w:tcPr>
          <w:p w14:paraId="0D7B3B9D" w14:textId="6F626191" w:rsidR="00301093" w:rsidRPr="00A82EED" w:rsidRDefault="00301093" w:rsidP="0070427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 xml:space="preserve">Parametr </w:t>
            </w:r>
            <w:r>
              <w:rPr>
                <w:b/>
                <w:bCs/>
                <w:sz w:val="20"/>
                <w:szCs w:val="20"/>
              </w:rPr>
              <w:t>Gwarantowany</w:t>
            </w:r>
            <w:r w:rsidRPr="00A82EED">
              <w:rPr>
                <w:b/>
                <w:bCs/>
                <w:sz w:val="20"/>
                <w:szCs w:val="20"/>
              </w:rPr>
              <w:t xml:space="preserve"> przez </w:t>
            </w:r>
            <w:r>
              <w:rPr>
                <w:b/>
                <w:bCs/>
                <w:sz w:val="20"/>
                <w:szCs w:val="20"/>
              </w:rPr>
              <w:t>Wykonawcę</w:t>
            </w:r>
          </w:p>
        </w:tc>
        <w:tc>
          <w:tcPr>
            <w:tcW w:w="1003" w:type="pct"/>
            <w:vAlign w:val="center"/>
          </w:tcPr>
          <w:p w14:paraId="36CDAE5B" w14:textId="32420283" w:rsidR="00301093" w:rsidRPr="00A82EED" w:rsidRDefault="00301093" w:rsidP="0030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629" w:type="pct"/>
            <w:vAlign w:val="center"/>
          </w:tcPr>
          <w:p w14:paraId="4BAAAF5B" w14:textId="4142B2AF" w:rsidR="00301093" w:rsidRPr="00A82EED" w:rsidRDefault="00301093" w:rsidP="0070427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679" w:type="pct"/>
            <w:vAlign w:val="center"/>
          </w:tcPr>
          <w:p w14:paraId="6E160E2C" w14:textId="77777777" w:rsidR="00301093" w:rsidRPr="00A82EED" w:rsidRDefault="00301093" w:rsidP="0070427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>Jednostka</w:t>
            </w:r>
          </w:p>
        </w:tc>
      </w:tr>
      <w:tr w:rsidR="00301093" w:rsidRPr="005C753A" w14:paraId="31E5EDC1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012A530E" w14:textId="7568AB53" w:rsidR="00301093" w:rsidRPr="005C753A" w:rsidRDefault="00301093" w:rsidP="0070427A">
            <w:pPr>
              <w:jc w:val="center"/>
              <w:rPr>
                <w:sz w:val="20"/>
                <w:szCs w:val="20"/>
              </w:rPr>
            </w:pP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I Parametr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Gwarantowany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przez </w:t>
            </w:r>
            <w:r>
              <w:rPr>
                <w:bCs/>
                <w:color w:val="000000" w:themeColor="text1"/>
                <w:sz w:val="20"/>
                <w:szCs w:val="20"/>
              </w:rPr>
              <w:t>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gwarantowana</w:t>
            </w:r>
            <w:r w:rsidRPr="005D527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527D">
              <w:rPr>
                <w:color w:val="000000" w:themeColor="text1"/>
                <w:sz w:val="20"/>
                <w:szCs w:val="20"/>
              </w:rPr>
              <w:t xml:space="preserve">skuteczność odzysku metali żelaznych </w:t>
            </w:r>
            <w:r>
              <w:rPr>
                <w:color w:val="000000" w:themeColor="text1"/>
                <w:sz w:val="20"/>
                <w:szCs w:val="20"/>
              </w:rPr>
              <w:t xml:space="preserve">w instalacji </w:t>
            </w:r>
            <w:r w:rsidRPr="005D527D">
              <w:rPr>
                <w:color w:val="000000" w:themeColor="text1"/>
                <w:sz w:val="20"/>
                <w:szCs w:val="20"/>
              </w:rPr>
              <w:t xml:space="preserve">WWŻ </w:t>
            </w:r>
            <w:r>
              <w:rPr>
                <w:color w:val="000000" w:themeColor="text1"/>
                <w:sz w:val="20"/>
                <w:szCs w:val="20"/>
              </w:rPr>
              <w:t>przy pracy z nominalną wydajnością instalacji</w:t>
            </w:r>
          </w:p>
        </w:tc>
        <w:tc>
          <w:tcPr>
            <w:tcW w:w="1003" w:type="pct"/>
            <w:vAlign w:val="center"/>
          </w:tcPr>
          <w:p w14:paraId="43787F12" w14:textId="4747DEA0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629" w:type="pct"/>
            <w:vAlign w:val="center"/>
          </w:tcPr>
          <w:p w14:paraId="4FC0E64C" w14:textId="239FC5EB" w:rsidR="00301093" w:rsidRPr="005C753A" w:rsidRDefault="00301093" w:rsidP="00704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64FE3E1" w14:textId="77777777" w:rsidR="00301093" w:rsidRPr="005C753A" w:rsidRDefault="00301093" w:rsidP="0070427A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>%</w:t>
            </w:r>
          </w:p>
        </w:tc>
      </w:tr>
      <w:tr w:rsidR="00301093" w:rsidRPr="005C753A" w14:paraId="6227AD93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5CDED5BC" w14:textId="1FB553D5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II Parametr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Gwarantowany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przez </w:t>
            </w:r>
            <w:r>
              <w:rPr>
                <w:bCs/>
                <w:color w:val="000000" w:themeColor="text1"/>
                <w:sz w:val="20"/>
                <w:szCs w:val="20"/>
              </w:rPr>
              <w:t>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gwarantowana</w:t>
            </w:r>
            <w:r w:rsidRPr="005D527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527D">
              <w:rPr>
                <w:color w:val="000000" w:themeColor="text1"/>
                <w:sz w:val="20"/>
                <w:szCs w:val="20"/>
              </w:rPr>
              <w:t xml:space="preserve">skuteczność odzysku metali nieżelaznych w </w:t>
            </w:r>
            <w:r>
              <w:rPr>
                <w:color w:val="000000" w:themeColor="text1"/>
                <w:sz w:val="20"/>
                <w:szCs w:val="20"/>
              </w:rPr>
              <w:t xml:space="preserve">instalacji WWŻ przy pracy z nominalną wydajnością instalacji </w:t>
            </w:r>
          </w:p>
        </w:tc>
        <w:tc>
          <w:tcPr>
            <w:tcW w:w="1003" w:type="pct"/>
            <w:vAlign w:val="center"/>
          </w:tcPr>
          <w:p w14:paraId="0C29F258" w14:textId="19AC1423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629" w:type="pct"/>
            <w:vAlign w:val="center"/>
          </w:tcPr>
          <w:p w14:paraId="6BBA7838" w14:textId="15F5A790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BA2DDE6" w14:textId="77777777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>%</w:t>
            </w:r>
          </w:p>
        </w:tc>
      </w:tr>
      <w:tr w:rsidR="00301093" w:rsidRPr="005C753A" w14:paraId="4D0BACD2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273AC555" w14:textId="4D5BBF1B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III Parametr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Gwarantowany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przez </w:t>
            </w:r>
            <w:r>
              <w:rPr>
                <w:bCs/>
                <w:color w:val="000000" w:themeColor="text1"/>
                <w:sz w:val="20"/>
                <w:szCs w:val="20"/>
              </w:rPr>
              <w:t>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nominalna</w:t>
            </w:r>
            <w:r w:rsidRPr="005D527D">
              <w:rPr>
                <w:color w:val="000000" w:themeColor="text1"/>
                <w:sz w:val="20"/>
                <w:szCs w:val="20"/>
              </w:rPr>
              <w:t xml:space="preserve"> wydajność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D527D">
              <w:rPr>
                <w:color w:val="000000" w:themeColor="text1"/>
                <w:sz w:val="20"/>
                <w:szCs w:val="20"/>
              </w:rPr>
              <w:t xml:space="preserve">instalacji </w:t>
            </w:r>
            <w:r>
              <w:rPr>
                <w:color w:val="000000" w:themeColor="text1"/>
                <w:sz w:val="20"/>
                <w:szCs w:val="20"/>
              </w:rPr>
              <w:t>WWŻ</w:t>
            </w:r>
          </w:p>
        </w:tc>
        <w:tc>
          <w:tcPr>
            <w:tcW w:w="1003" w:type="pct"/>
            <w:vAlign w:val="center"/>
          </w:tcPr>
          <w:p w14:paraId="2320BD5E" w14:textId="2780345F" w:rsidR="00301093" w:rsidRPr="005C753A" w:rsidRDefault="00C5721E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301093">
              <w:rPr>
                <w:sz w:val="20"/>
                <w:szCs w:val="20"/>
              </w:rPr>
              <w:t>40</w:t>
            </w:r>
          </w:p>
        </w:tc>
        <w:tc>
          <w:tcPr>
            <w:tcW w:w="629" w:type="pct"/>
            <w:vAlign w:val="center"/>
          </w:tcPr>
          <w:p w14:paraId="14B11B0F" w14:textId="0A70C420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967C55F" w14:textId="77777777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 xml:space="preserve">Mg/h </w:t>
            </w:r>
          </w:p>
        </w:tc>
      </w:tr>
      <w:tr w:rsidR="00301093" w:rsidRPr="005C753A" w14:paraId="234A8F30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53F1CFED" w14:textId="637EB92E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IV Parametr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Gwarantowany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przez </w:t>
            </w:r>
            <w:r>
              <w:rPr>
                <w:bCs/>
                <w:color w:val="000000" w:themeColor="text1"/>
                <w:sz w:val="20"/>
                <w:szCs w:val="20"/>
              </w:rPr>
              <w:t>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>maksymaln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y gwarantowany wagowy udział 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>zanieczyszczeń zawartych w</w:t>
            </w:r>
            <w:r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>odzyskany</w:t>
            </w:r>
            <w:r>
              <w:rPr>
                <w:bCs/>
                <w:color w:val="000000" w:themeColor="text1"/>
                <w:sz w:val="20"/>
                <w:szCs w:val="20"/>
              </w:rPr>
              <w:t>ch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metalach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 xml:space="preserve"> żelaznych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w instalacji WWŻ </w:t>
            </w:r>
            <w:r>
              <w:rPr>
                <w:color w:val="000000" w:themeColor="text1"/>
                <w:sz w:val="20"/>
                <w:szCs w:val="20"/>
              </w:rPr>
              <w:t>przy pracy z nominalną wydajnością instalacji</w:t>
            </w:r>
          </w:p>
        </w:tc>
        <w:tc>
          <w:tcPr>
            <w:tcW w:w="1003" w:type="pct"/>
            <w:vAlign w:val="center"/>
          </w:tcPr>
          <w:p w14:paraId="62693E7A" w14:textId="37362B52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≤25</w:t>
            </w:r>
          </w:p>
        </w:tc>
        <w:tc>
          <w:tcPr>
            <w:tcW w:w="629" w:type="pct"/>
            <w:vAlign w:val="center"/>
          </w:tcPr>
          <w:p w14:paraId="7EC2968E" w14:textId="2C01F6E3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A16AF2A" w14:textId="77777777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301093" w:rsidRPr="005C753A" w14:paraId="44FE3282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7E63EF5D" w14:textId="1DA723D3" w:rsidR="00301093" w:rsidRPr="005C753A" w:rsidRDefault="00301093" w:rsidP="003010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V Parametr </w:t>
            </w:r>
            <w:r>
              <w:rPr>
                <w:bCs/>
                <w:color w:val="000000" w:themeColor="text1"/>
                <w:sz w:val="20"/>
                <w:szCs w:val="20"/>
              </w:rPr>
              <w:t>Gwarantowany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przez </w:t>
            </w:r>
            <w:r>
              <w:rPr>
                <w:bCs/>
                <w:color w:val="000000" w:themeColor="text1"/>
                <w:sz w:val="20"/>
                <w:szCs w:val="20"/>
              </w:rPr>
              <w:t>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>maksymaln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y gwarantowany wagowy udział 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>zanieczyszczeń zawartych w</w:t>
            </w:r>
            <w:r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>odzyskany</w:t>
            </w:r>
            <w:r>
              <w:rPr>
                <w:bCs/>
                <w:color w:val="000000" w:themeColor="text1"/>
                <w:sz w:val="20"/>
                <w:szCs w:val="20"/>
              </w:rPr>
              <w:t>ch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metalach</w:t>
            </w:r>
            <w:r w:rsidRPr="001E1236">
              <w:rPr>
                <w:bCs/>
                <w:color w:val="000000" w:themeColor="text1"/>
                <w:sz w:val="20"/>
                <w:szCs w:val="20"/>
              </w:rPr>
              <w:t xml:space="preserve"> nieżelaznych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w instalacji WWŻ </w:t>
            </w:r>
            <w:r>
              <w:rPr>
                <w:color w:val="000000" w:themeColor="text1"/>
                <w:sz w:val="20"/>
                <w:szCs w:val="20"/>
              </w:rPr>
              <w:t>przy pracy z nominalną wydajnością instalacji</w:t>
            </w:r>
          </w:p>
        </w:tc>
        <w:tc>
          <w:tcPr>
            <w:tcW w:w="1003" w:type="pct"/>
            <w:vAlign w:val="center"/>
          </w:tcPr>
          <w:p w14:paraId="108011D3" w14:textId="3CF12CD2" w:rsidR="00301093" w:rsidRPr="005C753A" w:rsidDel="00B44A03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≤25</w:t>
            </w:r>
          </w:p>
        </w:tc>
        <w:tc>
          <w:tcPr>
            <w:tcW w:w="629" w:type="pct"/>
            <w:vAlign w:val="center"/>
          </w:tcPr>
          <w:p w14:paraId="5AE2B533" w14:textId="35476F28" w:rsidR="00301093" w:rsidRPr="005C753A" w:rsidDel="00B44A03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64E4D74" w14:textId="77777777" w:rsidR="00301093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14:paraId="4AD2A11A" w14:textId="77777777" w:rsidR="000E3C2A" w:rsidRDefault="000E3C2A"/>
    <w:sectPr w:rsidR="000E3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1539B"/>
    <w:rsid w:val="000E3C2A"/>
    <w:rsid w:val="00126EE5"/>
    <w:rsid w:val="0013626B"/>
    <w:rsid w:val="001F35DD"/>
    <w:rsid w:val="00207FD2"/>
    <w:rsid w:val="00301093"/>
    <w:rsid w:val="004632A8"/>
    <w:rsid w:val="004C6CC0"/>
    <w:rsid w:val="004E762B"/>
    <w:rsid w:val="00592C1A"/>
    <w:rsid w:val="006838EC"/>
    <w:rsid w:val="00697C0C"/>
    <w:rsid w:val="00775083"/>
    <w:rsid w:val="008772CC"/>
    <w:rsid w:val="008C6261"/>
    <w:rsid w:val="00933E50"/>
    <w:rsid w:val="00A0587E"/>
    <w:rsid w:val="00C5721E"/>
    <w:rsid w:val="00CF6500"/>
    <w:rsid w:val="00D8264C"/>
    <w:rsid w:val="00E61466"/>
    <w:rsid w:val="00F10BEF"/>
    <w:rsid w:val="2717BDAE"/>
    <w:rsid w:val="3B66A5FB"/>
    <w:rsid w:val="43C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D128"/>
  <w15:chartTrackingRefBased/>
  <w15:docId w15:val="{AC6693C5-9E16-4826-9EFB-7813789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D2"/>
    <w:pPr>
      <w:spacing w:before="120" w:line="360" w:lineRule="auto"/>
      <w:jc w:val="both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BEF"/>
    <w:pPr>
      <w:spacing w:after="0" w:line="240" w:lineRule="auto"/>
      <w:jc w:val="both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10BEF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4" ma:contentTypeDescription="Utwórz nowy dokument." ma:contentTypeScope="" ma:versionID="2626e4f435bc8b07ec4c065d927f2f1a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a816b0dbce928be9515a800634b46929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Props1.xml><?xml version="1.0" encoding="utf-8"?>
<ds:datastoreItem xmlns:ds="http://schemas.openxmlformats.org/officeDocument/2006/customXml" ds:itemID="{85AA9245-59BA-49C8-8DEE-C050E5B79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04F8C-9FF0-4191-AA82-C8A16535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2ED99-3850-4775-B92F-ABBAEFA8D1D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3a08ffbe-270e-45cf-9d04-25522143ec75"/>
    <ds:schemaRef ds:uri="http://schemas.microsoft.com/office/2006/metadata/properties"/>
    <ds:schemaRef ds:uri="http://schemas.microsoft.com/office/infopath/2007/PartnerControls"/>
    <ds:schemaRef ds:uri="e059374e-aff9-4752-9800-b0ce25df838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Pracownia  Energetyki</cp:lastModifiedBy>
  <cp:revision>12</cp:revision>
  <dcterms:created xsi:type="dcterms:W3CDTF">2022-08-31T01:56:00Z</dcterms:created>
  <dcterms:modified xsi:type="dcterms:W3CDTF">2023-03-31T09:23:00Z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