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Zał. 2a do SWZ OPIS PRZEDMIOTU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Minima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lne 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ymagania techniczn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o-użytkowe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dla samochodu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typu pickup z kabiną 5-osobową na podwoziu z napędem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4x4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- część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Ind w:w="-284.0" w:type="dxa"/>
        <w:tblLayout w:type="fixed"/>
        <w:tblLook w:val="0000"/>
      </w:tblPr>
      <w:tblGrid>
        <w:gridCol w:w="855"/>
        <w:gridCol w:w="10470"/>
        <w:gridCol w:w="3990"/>
        <w:tblGridChange w:id="0">
          <w:tblGrid>
            <w:gridCol w:w="855"/>
            <w:gridCol w:w="10470"/>
            <w:gridCol w:w="3990"/>
          </w:tblGrid>
        </w:tblGridChange>
      </w:tblGrid>
      <w:tr>
        <w:trPr>
          <w:cantSplit w:val="0"/>
          <w:trHeight w:val="40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dd6ee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WYMAGANIA MINIMALNE ZAMAWIAJĄCEGO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WYPEŁNIA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WARUNKI OGÓLNE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Wypełnia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fabrycznie nowy, rok produkcji 2025.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Podać markę, typ i model pojazdu oraz rok produkcji podwozia: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musi spełniać wymagania polskich przepisów o ruchu drogowym, z uwzględnieniem wymagań dotyczących pojazdów uprzywilejowanych, zgodnie z ustawą z dnia 20 czerwca 1997 r. „Prawo o ruchu drogowym” (Dz. U. z 2018 r., poz.1990, z późn. zm.) wraz z przepisami wykonawczymi do ustawy.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 U. z 2019 r. Poz. 594).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dniu odbioru faktycznego należy przedstawić właściwe zaświadczenie z okręgowej stacji kontroli pojazdów o przeprowadzonym badaniu technicznym dla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pojazdu uprzywilejowanego.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musi być oznakowany numerami operacyjnymi Państwowej Straży Pożarnej zgodnie </w:t>
              <w:br w:type="textWrapping"/>
              <w:t xml:space="preserve">z Zarządzeniem nr 6 Komendanta Głównego Państwowej Straży Pożarnej z dnia 8 maja 2025 r. w sprawie gospodarki transportowej w jednostkach organizacyjnych Państwowej Straży Pożarnej (Dz. Urz. KG PSP, poz. 9).</w:t>
            </w:r>
          </w:p>
          <w:p w:rsidR="00000000" w:rsidDel="00000000" w:rsidP="00000000" w:rsidRDefault="00000000" w:rsidRPr="00000000" w14:paraId="0000001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dotyczące oznakowania zostaną podane przez Zamawiającego w trakcie realizacji zamówienia na wniosek Wykonawcy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Samochód musi posiadać świadectwo dopuszczenia do użytkowania w ochronie przeciwpożarowej na terenie Polski. </w:t>
            </w:r>
          </w:p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Zamawiający dla pojazdów o MMR do 3t nie wymaga badań CNBOP.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Wykonawca zobowiązany jest do dostarczenia wraz z pojazdem dokumentu identyfikacyjnego pojazdu (DIP).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PODWOZIE Z KABINĄ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Kolor nadwozia zgodny z Zarządzeniem nr 6 Komendanta Głównego Państwowej Straży Pożarnej z dnia </w:t>
              <w:br w:type="textWrapping"/>
              <w:t xml:space="preserve">8 maja 2025 r. w sprawie gospodarki transportowej w jednostkach organizacyjnych Państwowej Straży Pożarnej (Dz. Urz. KG PSP, poz. 9).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Podwozie samochodu z silnikiem o zapłonie samoczynnym, o mocy min. 200 KM spełniającym w dniu odbioru obowiązujące przepisy o ruchu drogowym - min. Euro 6 z możliwością rejestracji pojazdu w dniu odbioru. W przypadku stosowania dodatkowego środka w celu redukcji emisji spalin (np. AdBlue), nie może nastąpić redukcja momentu obrotowego silnika w przypadku braku tego środka do czasu jego uzupełnienia.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przestrzenią ładunkową oraz pasażerską - przeznaczony do przewozu 5 osób wraz z kierowcą.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Napęd 4x4 – napęd obu osi z możliwością odłączenia jednej z osi oraz blokadą ułatwiającą poruszanie się w terenie. Reduktor, blokada tylnego mostu.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Skrzynia biegów automatyczna.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Maksymalna masa całkowita pojazdu nie może przekraczać 3500 kg. Masa przypadająca na każdą z osi nie może przekraczać maksymalnych wartości określonych przez producenta pojazdu lub podwozia bazowego.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Wymiary pojazdu: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6" w:right="5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długość całkowita min. 5300 mm.,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6" w:right="5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rozstaw osi co najmniej 3200 mm.,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6" w:right="5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długość skrzyni ładunkowej min. 1600 mm.,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86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szerokość skrzyni ładunkowej min. 1500 mm.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Kabina czterodrzwiowa, z kierownicą po lewej stronie (regulowana wielofunkcyjna, ogrzewana, wykończona skórą), układ miejsc 1+1+3,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Wyposażenie: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centralny zamek,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wspomaganie układu kierowniczego,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komputer pokładowy z wyświetlaczem,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tempomat,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układ zapobiegający blokowaniu kół podczas hamowania (ABS),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stabilizacji toru jazdy ESP oraz system zapobiegający staczaniu pojazdu podczas ruszania,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utrzymywania pasa ruchu,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asystent zmiany pasa ruchu,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lusterka zewnętrzne sterowane elektrycznie i podgrzewane,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fabryczny radioodtwarzacz z funkcją Android Auto i CarPlay oraz z nawigacją (minimum </w:t>
              <w:br w:type="textWrapping"/>
              <w:t xml:space="preserve">4 głośniki),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fotele wyposażone w bezwładnościowe pasy bezpieczeństwa,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interfejs USB (szybkie ładowanie) oznakowane wraz z przewodami USB – min. 2 szt. (taki sam zestaw w przestrzeni bagażowej),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sztuk kamizelek odblaskowych,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poduszki powietrzne przednie i boczne kierowcy i pasażera, kurtyny powietrzne,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siedzenia pokryte materiałem łatwym w utrzymaniu w czystości: łatwo zmywalnym, nienasiąkliwym, odpornym na rozdarcie, ścieranie i antypoślizgowym,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szyby elektrycznie sterowane, podnoszone i opuszczane,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sygnalizację dźwiękową biegu wstecznego oraz oświetlenie pola pracy włączane razem z biegiem wstecznym.,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dywaniki g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umowe dedykowane do danego typu pojazdu,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oświetlenie wnętrza kabiny z możliwością czytania,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minimalnie jedno zabezpieczenie antykradzieżowe,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fotele wyposażone w zagłówki.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reflektory LED z czujnikiem zmierzchu,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reflektory przeciwmgielne,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kamerę cofania oraz czujniki parkowania - przednie i tylne,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zabezpieczenia przeciw błotne z przodu i tyłu,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uchwyt na telefon,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bezkluczykowe uruchamianie,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szyba czołowa podgrzewana,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elektryczny hamulec postojowy,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gniazdo elektryczne 12 V oznakowane - min. 2szt. (taki sam zestaw w przestrzeni bagażowej),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lewarek, klucz do kół, trójkąt ostrzegawczy, gaśnicę,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pełno wymiarowe koło zapasowe bez konieczności przewożenia na stałe w pojeździe,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klimatyzacja automatyczna.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dachu pojazdu urządzenie sygnalizacyjno – ostrzegawcze, akustyczne i świetlne wykonane </w:t>
              <w:br w:type="textWrapping"/>
              <w:t xml:space="preserve">w technologii LED koloru niebieskiego i czerwonego (zapewniająca możliwość poruszania się pojazdu</w:t>
              <w:br w:type="textWrapping"/>
              <w:t xml:space="preserve"> w kolumnie), z podświetlanym napisem pośrodku „STRAŻ”,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1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  <w:tab/>
              <w:t xml:space="preserve">z przodu pojazdu w grillu zamontowane co najmniej dwie lampy typu LED koloru niebieskiego,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"/>
              </w:tabs>
              <w:spacing w:after="0" w:before="0" w:line="240" w:lineRule="auto"/>
              <w:ind w:left="361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  <w:tab/>
              <w:t xml:space="preserve"> z tyłu pojazdu, zamontowane co najmniej dwie lampy typu LED koloru niebieskiego na zabudowie tylnej.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Generator sygnałów dźwiękowych o mocy wzmacniacza min. 200W umożliwiający emitowanie modulowanych sygnałów dźwiękowych (min. 3 modulacje) i nadawanie komunikatów głosowych na zewnątrz pojazdu, zamontowany tak, aby w przestrzeni pasażerskiej znajdował się tylko manipulator wraz z mikrofonem, zmontowanym w miejscu umożliwiającym obsługę przez kierowcę i dowódcę, ze zintegrowanymi przyciskami sterującymi modulacją dźwięku, światłami błyskowymi na dachu z przodu i z tyłu. Głośnik (min. 200W lub 2x100W) urządzenie zamontowane z przodu pojazdu w przestrzeni silnikowej za grillem lub w grillu, skierowany do przodu (montaż w uzgodnieniu z zamawiającym). Instalacja głośników zabezpieczona przed uszkodzeniem i czynnikami atmosferycznymi.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Pojemność zbiornika paliwa minimum 75 litrów.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dostarczony z zestawem narzędzi przewidzianych przez producenta podwozia.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Moc alternatora i pojemność akumulatorów muszą zapewniać pełne zapotrzebowanie na energię elektryczną przy jej maksymalnym obciążeniu.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-209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Wyciągarka o napędzie elektrycznym, zamontowana z przodu pojazdu w zderzaku, minimalna siła uciągu na pierwszym zwoju co najmniej równa 120% dopuszczalnej masy całkowitej pojazdu /DMC/, wyciągarka wyposażona w: linę syntetyczną o długości minimum 25 m zakończoną kauszą (hakiem). Sterowana przewodowo i bezprzewodowo. Nie dopuszcza się zamontowania wyciągarki wystającej poza obrys pojazdu z wyjątkiem kauszy i prowadnic liny.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Wyciągarka powinna posiadać niezależne zabezpieczenie zasilania elektrycznego, zabezpieczające instalacje elektryczną pojazdu przed uszkodzeniem w momencie przeciążenia wyciągarki. Gniazdo sterowania wyciągarką z pilota przewodowego winno być zamontowane /umiejscowione/ w miejscu łatwo dostępnym uzgodnione z zamawiającym. Długość przewodu pilota sterującego wyciągarką powinna umożliwiać sterowanie wyciągarką z kabiny pojazdu. Dodatkowo pas do drzewa, 2x szekla, zblocze. Wszystkie elementy wyposażenia dostosowane do maksymalnej siły uciągu.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-209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wyposażony w integralny układ prostowniczy do ładowania z zewnętrznego źródła o napięciu ~230V, zintegrowane złącze (gniazdo z wtyczką) prądu elektrycznego o napięciu 230V oraz szybkozłącze. Urządzenie zabezpieczone przed przeładowaniem akumulatora </w:t>
              <w:br w:type="textWrapping"/>
              <w:t xml:space="preserve">i dopasowane do typu akumulatora zastosowanego w pojeździe. Wtyczka z przewodem elektrycznym </w:t>
              <w:br w:type="textWrapping"/>
              <w:t xml:space="preserve">o długości min. 6 m. Sygnalizacja podłączenia do zewnętrznego źródła w kabinie kierowcy.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Umiejscowienie gniazda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w porozumieniu z użytkownikiem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Samochód wyposażony w 1 szt. radiotelefonu przewoźnego spełniających minimalne wymagania techniczno-funkcjonalne określone w załączniku nr 3 do Instrukcji w sprawie organizacji łączności radiowej, wprowadzonej Rozkazem Nr 8 Komendanta Głównego Państwowej Straży Pożarnej z dnia </w:t>
              <w:br w:type="textWrapping"/>
              <w:t xml:space="preserve">5 kwietnia 2019 r. Dz. Urz. KG PSP 2019 r. poz. 7.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 się możliwości demontażu radiotelefonu przewoźnego bez utraty gwarancji na zabudowę oraz urządzenia.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 pomiarów i parametry radiowe muszą być zgodne z normami: ETSI EN 300 086, ETSI EN 300 113, ETSI TS 102 361-2.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standardzie algorytm szyfrujący ARC4 40bit.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Antena GPS zamontowana w sposób umożliwiający niezakłócony odbiór sygnału GPS.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Dopuszcza się wyróżnienie przycisku alarmowego kolorem pomarańczowym na wyświetlaczu.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wyposażony w możliwość podłączenia bezprzewodowego mikrofono-głośnika w technologii bluetooth.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Manipulator radiotelefonu zamontowany za pomocą zestawu separacyjnego w kabinie, dostępny do obsługi przez kierowcę i pasażera. Zespół nadawczo-odbiorczy zamontowany w sposób umożliwiający dostęp do złącza antenowego oraz złącza akcesoriów, bez konieczności demontażu stałych części pojazdu.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Antena 1/4 fali, zysk anteny 2,15 dBi, dostosowana do rodzaju zabudowy (metalowa/kompozytowa), zainstalowana na dachu pojazdu/kabiny kierowcy zgodnie z zaleceniami producenta anteny. Antena zestrojona na częstotliwości 149.000 MHz z maksymalną wartością współczynnika fali stojącej (WFS) 1,3.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zaprogramowany zgodnie z obsadą kanałową, dostarczoną w trakcie realizacji zamówienia.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podzespoły zestawu jednego producenta lub równoważne zaakceptowane przez producenta oferowanego radiotelefonu z wyjątkiem anteny.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Dokumentacja dodatkowa: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wykres z pomiaru współczynnika fali stojącej zainstalowanej anteny po wykonaniu montażu.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Sprawozdanie z wynikami pomiarów czynników szkodliwych dla zdrowia w środowisku pracy wykonanych przez akredytowane ośrodki badawcze (PEM).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Oznakowanie radiotelefonu zgodnie z Polską Normą PN-T-06260: 1974 (adekwatnie do wyniku pomiaru)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urządzenia radiowe (radiotelefon i terminale TETRA) muszą pochodzić od jednego producenta. Terminale TETRA mają mieć aktywne licencje do pracy w systemie TETRA POLICJI wraz z licencjami na usługi bluetooth, GPS, oraz tryby pracy: repeater, TMO, DMO. Ponadto urządzenia fabryczne samochodu oraz pozostałe zamontowane w trakcie zabudowy pojazdu nie mogą powodować zakłóceń w pracy urządzeń łączności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pojeździe zamontowane 2 radiotelefony przenośne z mikrofonogłośnikiem oraz 2 dedykowane ładowarki do  radiotelefonów przenośnych o napięciu zasilana zgodnym z napięciem instalacji elektrycznej pojazdu zapewniające sygnalizację cyklu pracy, ładowanie bez odpinania akumulatora od radiotelefonu.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Radiotelefony tego samego producenta, co radiotelefon przewoźny, spełniające minimalne wymagania techniczno-funkcjonalne określone w załączniku nr 4 do Instrukcji w sprawie organizacji łączności radiowej, wprowadzonej Rozkazem Nr 8 Komendanta Głównego Państwowej Straży Pożarnej z dnia 5 kwietnia 2019 r. Dz. Urz. KG PSP 2019 r. poz.7.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 pomiarów i parametry radiowe muszą być zgodne z normami: ETSI EN 300 086, ETSI EN 300 113, ETSI TS 102 361-2.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standardzie algorytm szyfrujący ARC4 40bit.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Akumulator Li-Ion o pojemności min. 2000 mAh.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Zaczep (klips) do pasa.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Ładowarka jednopozycyjna zasilana z sieci 230 V – 4 kpl.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podzespoły zestawu fabrycznie nowe, jednego producenta lub równoważne zaakceptowane przez producenta oferowanego radiotelefonu.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zaprogramowany zgodnie z obsadą kanałową, dostarczoną w trakcie realizacji zamówienia.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kabinie kierowcy zamontowany drugi radiotelefon przewoźny, pracujący w systemie TETRA, spełniający minimalne wymagania techniczno-funkcjonalne określone w załączniku nr 6 do instrukcji stanowiącej załącznik do Rozkazu Nr 8 Komendanta Głównego Państwowej Straży Pożarnej z dnia 5 kwietnia 2019 r. w sprawie organizacji łączności radiowej (Dz. Urz. KG PSP z 2019 r., poz. 7), a także: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ogólne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Wymagane tryby pracy radiotelefonu: tryb trankingowy (TMO), tryb bezpośredni (DMO).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Aktywne tryby pracy: TMO/DMO Gateway i DMO Repeater.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Podświetlany kolorowy wyświetlacz o liczbie kolorów nie mniej niż 65000 i rozdzielczości nie mniejszej niż 320x240 pikseli (z możliwością wyłączenia podświetlenia przez użytkownika).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Wbudowany i uaktywniony moduł GPS.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Podświetlana klawiatura alfanumeryczna zabezpieczona przed przypadkowym użyciem (z możliwością wyłączenia podświetlenia przez użytkownika).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ograniczania czasu nadawania.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Dedykowane pokrętło lub przyciski funkcji wyboru grup rozmównych.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Dedykowane pokrętło lub przyciski regulacji głośności.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tworzenia przy użyciu zestawu do programowania struktury folderów, grup i kanałów w sposób uniemożliwiający ingerencję ze strony użytkownika niewyposażonego w w/w zestaw w zaprogramowaną ilość, układ i zawartość folderów.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 programowania.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tworzenia przynajmniej 20 różnych list skanowania o pojemności przynajmniej </w:t>
              <w:br w:type="textWrapping"/>
              <w:t xml:space="preserve">16 pozycji każda, które będą uaktywniane stosownie do potrzeb użytkownika.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Programowe definiowanie wyświetlanej nazwy grupy (min. 12 znaków alfanumerycznych).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Interfejs użytkownika radiotelefonu w języku polskim.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Programowalny przycisk funkcyjny, umieszczony na obudowie w sposób umożliwiający szybki </w:t>
              <w:br w:type="textWrapping"/>
              <w:t xml:space="preserve">i łatwy dostęp do zdefiniowanej funkcji.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Dedykowany przycisk funkcyjny w wyróżniającym się kolorze, umożliwiający włączenie trybu alarmowego, zabezpieczony przed przypadkowym użyciem, umieszczony na obudowie w sposób zapewniający łatwy dostęp.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zdefiniowania skróconych numerów ISSI.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i ręcznego zdefiniowania listy kontaktów radiowych i telefonicznych </w:t>
              <w:br w:type="textWrapping"/>
              <w:t xml:space="preserve">o pojemności przynajmniej 500 pozycji.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Programowo definiowana opcja włączenia/wyłączenia odbiornika GPS w wariantach: stale włączony, stale wyłączony, działanie GPS zależne od użytkownika.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Programowo definiowana opcja przesyłania danych lokalizacyjnych za pośrednictwem SDS.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przebywania w zasięgu i poza zasięgiem sieci.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poziomu odbieranego sygnału.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trybu pracy: TMO, DMO.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odbioru wiadomości statusowej.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odbioru wiadomości SDS.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w trybach DMO Repeater i TMO/DMO Gateway za pośrednictwem dedykowanych terminali oferujących ww. usługi.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Wbudowane złącze do podłączenia zewnętrznego mikrofonu z przyciskiem PTT.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TMO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realizacji połączeń: alarmowych, grupowych głosowych (semidupleksowych), indywidualnych głosowych, dupleksowych z sieciami telefonicznymi stacjonarnymi (PABX/PSTN) oraz ruchomymi (GSM).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na adresy grupowe i indywidualne oraz odbiór wiadomości statusowych.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na adresy grupowe i indywidualne oraz odbiór krótkich wiadomości tekstowych (SDS).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odbioru SDS w trakcie połączenia głosowego.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i odbiór danych pakietowych.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Identyfikacja strony wywołującej.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Identyfikacja rozmówcy.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Dynamiczny, z wykorzystaniem komunikacji radiowej, przydział co najmniej 48 numerów grup (DGNA).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danych GPS określających pozycję użytkownika dla potrzeb aplikacji zgodnie z protokołem LIP.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zdefiniowania jednego lub wielu zdarzeń powodujących automatyczne wysyłanie danych lokalizacyjnych użytkownika, w tym: po włączeniu radiotelefonu, przed zmianą trybu pracy </w:t>
              <w:br w:type="textWrapping"/>
              <w:t xml:space="preserve">z trankingowego na bezpośredni, na skutek inicjacji wywołania alarmowego, sygnalizacji wyczerpania baterii, okresowo co zdefiniowany czas, przy przemieszczeniu się o zadaną odległość, przy utracie widoczności satelitów GPS itp.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odsłuchu otoczenia (Ambience Listening).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zaprogramowania co najmniej 800 grup rozmównych TMO.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podziału zaprogramowanych grup rozmównych na minimum 50 folderów o pojemności min. 16 grup rozmównych TMO każdy, przy czym ta sama grupa może być przydzielona do dowolnej ilości folderów.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i ręcznego ustawienia grup rozmównych do pracy w skaningu ze zróżnicowanym priorytetem skanowania.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Informacja o dołączeniu do grupy (DGNA).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Zdalne sterowanie radiotelefonem za pomocą SDS (SDS Remote Control)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Obsługa dodatkowego kanału kontrolnego SCCH.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DMO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realizacji połączeń: grupowych głosowych, indywidualnych głosowych, alarmowych.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i odbiór wiadomości statusowych.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i odbiór krótkich wiadomości tekstowych (SDS).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czasu nadawania.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na dowolnym, z co najmniej 256 zaprogramowanych kanałów / grup.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podziału zaprogramowanych kanałów na minimum 16 folderów </w:t>
              <w:br w:type="textWrapping"/>
              <w:t xml:space="preserve">o pojemności min. 16 pozycji.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w trybie DMO z kluczami SCK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TMO/DMO Gateway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grupowe;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indywidualne;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alarmowe.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DMO Repeater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grupowe;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alarmowe;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indywidualne.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zakresie bezpieczeństwa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Radiotelefon musi zapewniać szyfrowanie zgodnie z algorytmem TEA2 i w tym zakresie musi mieć uaktywnione wymagane licencje.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w klasach bezpieczeństwa: SC1, SC2, SC3 (z i bez GCK).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stosowania dynamicznej zmiany kluczy szyfrujących (GCK, CCK, SCK) drogą radiową (OTAR).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Wzajemne uwierzytelnianie radiotelefonu i infrastruktury sieci (SwMI) inicjowane przez radiotelefon.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Obsługa uwierzytelniania inicjowanego przez infrastrukturę sieci (SwMI).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zdalnego, trwałego zablokowania obsługi radiotelefonu w sieci.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zdalnego, czasowego zablokowania/odblokowania obsługi radiotelefonu w sieci.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Kontrola dostępu do funkcji radiotelefonu za pomocą indywidualnego kodu użytkownika (PIN).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Radiotelefon obsługuje kod PUK umożliwiający odblokowanie radia w przypadku błędnego wprowadzenia kodu PIN.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szyfrowania korespondencji kluczem SCK w sytuacji, kiedy szyfrowanie korespondencji kluczem DCK jest niedostępne.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pracy radiotelefonu zarówno w trybie szyfrowanym jak i w trybie jawnym (CLEAR).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Klucze szyfrujące nie mogą być przechowywane w radiotelefonie w sposób jawny i musi być uniemożliwiony ich odczyt lub przepisanie pomiędzy dwoma radiotelefonami.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aktualizacji oprogramowania firmware radiotelefonu.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techniczne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częstotliwości pracy w trybie trankingowym (TMO) 380 - 430 MHz;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częstotliwości pracy w trybie bezpośrednim (DMO) 380 - 430 MHz;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Częstotliwości znamionowe i numeracja kanałów TETRA zgodnie ze specyfikacją ETSI TS 100 392-15 V1.5.1;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Klasa nadajnika 2;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Klasa odbiornika: A i B;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napięcia zasilania: od 10,8V do 15,6V DC;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Minimalny zakres temperatury pracy od -25°C do +55°C;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Minimalna klasa ochrony obudowy przed wnikaniem pyłu i wody: IP 54;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Odporność na narażenia mechaniczne, wibracje, udary i spadek swobodny: klasa 5M3 według normy ETSI EN300 019-1-5;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Rozdzielny zespół nadawczo-odbiorczy i panel sterowania z wyświetlaczem i klawiaturą.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Zgodność z wymaganiami zasadniczymi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Zgodność z odpowiednimi wymaganiami zasadniczymi powinna być potwierdzona w dostarczonej deklaracji zgodności CE wystawionej przez producenta lub jego upoważnionego przedstawiciele mającego siedzibę w 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Ukompletowanie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Zespół nadawczo-odbiorczy.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Panel sterowania z wyświetlaczem i klawiaturą.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Przewód łączący panel sterowania z zespołem nadawczo-odbiorczym, o długości min. 5 m.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Przewód zasilający z zabezpieczeniem od strony baterii akumulatorów, o długości min. 6 m.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Profesjonalny mikrofon zewnętrzny na przewodzie spiralnym z przyciskiem nadawania PTT </w:t>
              <w:br w:type="textWrapping"/>
              <w:t xml:space="preserve">i zaczepem.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Głośnik (wewnętrzny lub zewnętrzny) o mocy minimum 4 W o długości przewodu min 5 m.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Antena dachowa (prętowa, dookólna z możliwością odkręcenia promiennika od podstawy) UHF zintegrowana z anteną GPS z przewodami współosiowymi o długości min. 5 m spełniająca wymagania: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częstotliwości pracy: 380-430 MHz;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impedancja: 50 Ω;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współczynnik fali stojącej WFS ≤ 1,5 dla częstotliwości 380 MHz ≤ f&lt;400 MHz;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współczynnik fali stojącej WFS ≤ 2 dla częstotliwości 400 MHz ≤ f≤ 430 MHz;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55764053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-</w:t>
                  <w:tab/>
                  <w:t xml:space="preserve">zysk: ≥ 0 dBd;  </w:t>
                </w:r>
              </w:sdtContent>
            </w:sdt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dopuszczalna moc: 20 W;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polaryzacja: pionowa;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charakterystyka promieniowania w płaszczyźnie poziomej: dookólna.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Komplet uchwytów, wkrętów i innych elementów niezbędnych do mocowania radiotelefonu i elementów ukompletowania w pojeździe samochodowym.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Instrukcja obsługi w języku polskim.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Wtyk antenowy (zagniatany) do kabla RG58.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Zasilanie radiotelefonów ma odbywać się z instalacji elektrycznej pojazdu.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Antena UHF musi być zainstalowana na dachu lub innym dogodnym miejscu na górnej powierzchni samochodu (do uzgodnienia z Zamawiającym), w podłużnej osi symetrii pojazdu lub (po uzgodnieniu </w:t>
              <w:br w:type="textWrapping"/>
              <w:t xml:space="preserve">z Zamawiającym) symetrycznie do niej.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pojeździe zamontowane 2 radiotelefony przenośne pracujące w systemie TETRA wraz z ładowarkami. Radiotelefony tego samego producenta, co radiotelefon przewoźny TETRA, spełniające minimalne wymagania techniczno-funkcjonalne określone w załączniku nr 7 do Instrukcji w sprawie organizacji łączności radiowej, wprowadzonej Rozkazem Nr 8 Komendanta Głównego Państwowej Straży Pożarnej </w:t>
              <w:br w:type="textWrapping"/>
              <w:t xml:space="preserve">z dnia 5 kwietnia 2019 r. Dz. Urz. KG PSP 2019 r. poz.7, a także: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tryby pracy radiotelefonu: tryb trankingowy (TMO), tryb bezpośredni (DMO)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Podświetlany kolorowy wyświetlacz o liczbie kolorów nie mniej niż 65000 i rozdzielczości nie mniejszej niż 160x128 pikseli.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i uaktywniony moduł GPS.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Podświetlana klawiatura alfanumeryczna, zabezpieczona przed przypadkowym użyciem.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ograniczania czasu nadawania.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Dedykowane pokrętło lub przyciski funkcji wyboru grup rozmównych.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Dedykowane pokrętło lub przyciski regulacji głośności.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tworzenia przy użyciu zestawu do programowania struktury folderów, grup w sposób uniemożliwiający ingerencję ze strony użytkownika niewyposażonego w w/w zestaw w zaprogramowaną ilość, układ i zawartość folderów.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zdefiniowania przynajmniej jednego folderu o pojemności min. 16 grup TMO i/lub grup DMO, przy użyciu zestawu do programowania i/lub ręcznego z poziomu menu, którego zawartość może być zmieniana przez użytkownika z poziomu menu w zakresie grup zaprogramowanych uprzednio w radiotelefonie przy użyciu zestawu do programowania.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tworzenia przynajmniej 20 różnych list skanowania o pojemności przynajmniej 16 pozycji każda, które będą uaktywniane stosownie do potrzeb użytkownika.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Programowe definiowanie wyświetlanej nazwy grupy (min. 12 znaków alfanumerycznych).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Interfejs użytkownika radiotelefonu w języku polskim.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Programowalny przycisk funkcyjny, umieszczony na obudowie w sposób umożliwiający szybki</w:t>
              <w:br w:type="textWrapping"/>
              <w:t xml:space="preserve"> i łatwy dostęp do zdefiniowanej funkcji.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Dedykowany przycisk funkcyjny w wyróżniającym się kolorze, umożliwiający włączenie trybu alarmowego, zabezpieczony przed przypadkowym użyciem, umieszczony na obudowie w sposób zapewniający łatwy dostęp.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zdefiniowania skróconych numerów ISSI.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i ręcznego zdefiniowania listy kontaktów radiowych i telefonicznych </w:t>
              <w:br w:type="textWrapping"/>
              <w:t xml:space="preserve">o pojemności przynajmniej 500 pozycji.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Programowo definiowana opcja włączenia/wyłączenia odbiornika GPS w wariantach: stale włączony, stale wyłączony, działanie GPS zależne od użytkownika.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Programowo definiowana opcja przesyłania danych lokalizacyjnych za pośrednictwem SDS.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przebywania w zasięgu i poza zasięgiem sieci.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poziomu odbieranego sygnału.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stanu naładowania akumulatora.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trybu pracy: TMO, DMO.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odbioru wiadomości statusowej.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odbioru wiadomości SDS.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w trybach DMO Repeater i TMO/DMO Gateway za pośrednictwem dedykowanych terminali oferujących ww. usługi.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Wbudowane złącze akcesoriów do przyłączenia zewnętrznego mikrofonogłośnika z przyciskiem PTT i słuchawką.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Uaktywniony moduł Bluetooth umożliwiający obsługę m.in. zewnętrznego zestawu mikrofonowo-słuchawkowego.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trybie TMO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realizacji połączeń: alarmowych, grupowych głosowych (semidupleksowych), indywidualnych głosowych, dupleksowych z sieciami telefonicznymi stacjonarnymi (PABX/PSTN) oraz ruchomymi (GSM).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na adresy grupowe i indywidualne oraz odbiór wiadomości statusowych.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na adresy grupowe i indywidualne oraz odbiór krótkich wiadomości tekstowych (SDS).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odbioru SDS w trakcie połączenia głosowego.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i odbiór danych pakietowych.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Identyfikacja strony wywołującej.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Identyfikacja rozmówcy.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funkcjonalności DGNA.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danych GPS określających pozycję użytkownika dla potrzeb aplikacji zgodnie z protokołem LIP.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zdefiniowania jednego lub wielu zdarzeń powodujących automatyczne wysyłanie danych lokalizacyjnych użytkownika, w tym: po włączeniu radiotelefonu, przed zmianą trybu pracy z trankingowego na bezpośredni, na skutek inicjacji wywołania alarmowego, sygnalizacji wyczerpania baterii okresowo, co zdefiniowany czas, przy przemieszczeniu się o zadaną odległość, przy utracie widoczności satelitów GPS itp.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odsłuchu otoczenia (Ambience Listening).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zaprogramowania, co najmniej 2000 grup rozmównych TMO.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i ręcznego ustawienia grup rozmównych do pracy w skaningu ze zróżnicowanym priorytetem skanowania.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Zdalne sterowanie radiotelefonem za pomocą SDS (SDS Remote Control).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Obsługa dodatkowego kanału kontrolnego SCCH.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trybie DMO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realizacji połączeń: grupowych głosowych, indywidualnych głosowych, alarmowych.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i odbiór wiadomości statusowych.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i odbiór krótkich wiadomości tekstowych (SDS).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czasu nadawania.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na dowolnym, z co najmniej 256 zaprogramowanych grup.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podziału zaprogramowanych kanałów na minimum 16 folderów </w:t>
              <w:br w:type="textWrapping"/>
              <w:t xml:space="preserve">o pojemności min. 16 pozycji.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w trybie DMO z kluczami SCK.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zakresie bezpieczeństwa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musi zapewniać szyfrowanie zgodnie z algorytmem TEA2 i w tym zakresie musi mieć uaktywnione wymagane licencje.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w klasach bezpieczeństwa: SC1, SC2, SC3 (z i bez GCK).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stosowania dynamicznej zmiany kluczy szyfrujących (GCK, CCK, SCK) drogą radiową (OTAR).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Wzajemne uwierzytelnianie radiotelefonu i infrastruktury sieci (SwMI) inicjowane przez radiotelefon.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Obsługa uwierzytelniania inicjowanego przez infrastrukturę sieci (SwMI).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zdalnego, trwałego zablokowania obsługi radiotelefonu w sieci.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zdalnego, czasowego zablokowania/odblokowania obsługi radiotelefonu w sieci.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Kontrola dostępu do funkcji radiotelefonu za pomocą indywidualnego kodu użytkownika (PIN).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obsługuje kod PUK umożliwiający odblokowanie radia w przypadku błędnego wprowadzenia kodu PIN.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szyfrowania korespondencji kluczem SCK w sytuacji, kiedy szyfrowanie korespondencji kluczem DCK jest niedostępne.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pracy radiotelefonu zarówno w trybie szyfrowanym jak i w trybie jawnym (CLEAR).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Klucze szyfrujące nie mogą być przechowywane w radiotelefonie w sposób jawny i musi być uniemożliwiony ich odczyt lub przepisanie pomiędzy dwoma radiotelefonami.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aktualizacji oprogramowania firmware radiotelefonu.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techniczne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Zakres częstotliwości pracy w trybie trankingowym (TMO) 380 - 430 MHz.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Zakres częstotliwości pracy w trybie bezpośrednim (DMO) 380 - 430 MHz.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Częstotliwości znamionowe i numeracja kanałów TETRA zgodnie ze specyfikacją ETSI TS 100 392-15 V1.5.1.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Nadajnik klasy 3.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Klasa odbiornika: A i B (wg EN300392-2).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Minimalny zakres temperatury pracy od -25°C do +55°C.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Minimalna klasa ochrony obudowy przed wnikaniem pyłu i wody: IP 65.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Zgodność z wymaganiami zasadniczymi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Zgodność z odpowiednimi wymaganiami zasadniczymi powinna być potwierdzona w dostarczonej deklaracji zgodności wystawionej przez producenta lub jego upoważnionego przedstawiciela, mającego siedzibę na terenie UE.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Ukompletowanie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Instrukcja obsługi radiotelefonu w języku polskim.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Deklaracja zgodności CE radiotelefonu.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Dwupasmowa antena UHF/GPS na pasmo min. 380÷430 MHz, która nie może być zintegrowana z obudową radiotelefonu (możliwość wymiany anteny). Zamawiający dopuszcza zastosowanie zintegrowanej (wewnętrznej) anteny GPS.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Akumulator autoryzowany przez producenta radiotelefonu, gwarantujący pracę przez minimum 10 godz., przy proporcjach nadawanie/odbiór/stan gotowości wynoszący odpowiednio 5%/5%/90% - 2 szt.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Wymienny zaczep/klips umożliwiający przymocowanie radiotelefonu do pasa o min. szerokości 50 mm.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Profesjonalny mikrofonogłośnik na przewodzie spiralnym z przyciskiem nadawania PTT.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Ładowarka akumulatorów w wykonaniu biurkowym; umożliwiająca ładowanie baterii dołączonej do radiotelefonu i baterii rezerwowej; sygnalizująca stany pracy (przynajmniej: ładowanie baterii / bateria naładowana); działająca w następujących warunkach: zasilanie z sieci energetycznej o napięciu znamionowym 230 V AC 50 Hz; zakres napięcia zasilania: napięcie znamionowe ±10% (standard wtyku obowiązujący w Polsce); wymagana dokumentacja: instrukcja obsługi w języku polskim; deklaracja zgodności z wymaganiami zasadniczymi w zakresie bezpieczeństwa użytkowania i kompatybilności elektromagnetycznej (EMC).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Oprogramowanie (z licencją) i okablowanie niezbędne do programowania radiotelefonu kompatybilne z systemem min. Microsoft Windows 10.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wyposażyć w maszt antenowy (minimum 6 m.) w komplecie z dwoma kablami antenowymi </w:t>
              <w:br w:type="textWrapping"/>
              <w:t xml:space="preserve">o długości min. 10mb. do podłączenia anten. 1 antena na pasmo VHF i 1 antena na pasmo UHF (TETRA) z uchwytami, skrzynką z narzędziami do montażu masztu, pokrowcem na maszt. Dodatkowo mocowanie do pojazdu i odciągi stalowe do postawienia jako maszt wolnostojący.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Umiejscowienie w porozumieniu z użytkownikiem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wyposażyć w Radioprzemiennik pracujący w zakresie 136-174 MHz, stanowiący komplet </w:t>
              <w:br w:type="textWrapping"/>
              <w:t xml:space="preserve">z duplexerem zestrojonym na pasmo częstotliwości PSP mieszczące się w zakresie 136-174 MHz, odpowiednim zasilaczem i podtrzymaniem akumulatorowym, pozwalającym na pracę przemiennika minimum 1 godz., ładowanym z zamontowanego zasilacza, praca w trybie analogowym i cyfrowym. Dopuszcza się zastosowanie radioprzemiennika przenośnego. Radioprzeminennik musi umożliwiać pracę w trybie master-slave po sieci IP.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Umiejscowienie w porozumieniu z użytkownikiem.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wyposażyć w mobilny tablet o minimalnych parametrach: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przekątna ekranu min. 8”;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wyświetlacza: TFT o rozdzielczości minimum 1920 x 1200 (WUXGA) i głębi kolorów 16M;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procesor: minimum 8 rdzeniowy o taktowaniu minimum dla 4 rdzeni 2,4 GHz oraz dla kolejnych 4 rdzeni minimum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 GHz;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pamięć RAM: minimum 6 GB;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pamięć wewnętrzna: minimum 128 GB, wbudowany slot obsługujący karty microSD o pojemności minimum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512 GB;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oferowany system operacyjny w pełni kompatybilny z systemem wykorzystywanym przez Użytkownika,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tj.: minimum Android 12 (najwyższa dostępna i aktualna wersja systemu) lub równoważny, o następujących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minimalnych parametrach funkcjonalnych: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operacyjny musi zapewnić wielozadaniowość, wielowątkowość i możliwość zarządzania pamięcią,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zmiany kolejności kafelków szybkich ustawień,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bezpośredniej odpowiedzi na powiadomienie,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grupowania powiadomień,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indywidulanego ustawienia ograniczenia ilości danych zużywanych przez urządzenie,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personalizacja rozmiaru wyświetlacza,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pobieranie aktualizacji w tle bez konieczności wyłączania urządzenia,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menadżer pamięci,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zapisywania danych w chmurze,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instalacji innych aplikacji z dedykowanego sklepu,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łatwego uruchomienia i użytkowania platform m.in.: Microsoft Teams, WhatsApp, Discord, Zoom;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aparat główny minimum 13 Mpix;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moduł GPS z obsługą GLONASS, GALILEO i BEIDOU;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modem 5G LTE z obsługą kart SIM (wbudowany slot obsługujący kartę SIM), obsługa technologii NFC;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moduł Bluetooth minimum w wersji v5.2;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akumulator o pojemności minimum 5000 mAh;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moduł WiFi obsługujący standard minimum 802.11 a/b/g/n/ac/ax;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dostarczony rysik w komplecie z tabletem;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mikrofon i głośnik;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porty: USB min. 3.2 Generacji 1 Typ C, dedykowany wbudowany port do obsługi stacji dokującej;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czujniki: akcelerometr, czujnik światła, żyroskop;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tablet w obudowie zapewniającej standard minimum IP67;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tablet z dodatkową obudową/etui lub w obudowie wzmocnionej, zgodnej ze standardem MIL-STD-810H;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ładowarka sieciowa do tabletu.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Wykonawca zainstaluje stację dokującą dla tabletu w kabinie pojazdu. Stacja dokująca: dedykowana, zbudowana z wytrzymałych odpornych na uderzenia materiałów, umożliwiająca podłączenie tabletu poprzez dedykowany port w celu ciągłego ładowania urządzenia lub przez między innymi gniazdo zapalniczki, stacja dokująca zainstalowana na stałe w pojeździe.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Uwaga: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i dokładny sposób montażu tableta wraz z osprzętem zostanie uzgodnione pomiędzy stronami na etapie realizacji zamówienia na wniosek Wykonawcy.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Obręcze kół ze stopów lekkich - fabrycznie nowe, ogumienie całoroczne uniwersalne (szosowo-terenowe) minimum 18 cali, z bieżnikiem dostosowanym do różnych warunków atmosferycznych i terenowych.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Rok produkcji opon nie wcześniej niż 2024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Hak holowniczy z możliwością ciągnięcia przyczepy z/bez hamulca minimum 2500 kg / 750 kg, gniazdo na wtyczkę 13 pinową. Dodatkowo przejściówka 13/7 pin.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z563eo9jwfb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powinien być wyposażony w kamerę monitorującą strefę „martwą” (niewidoczną dla kierowcy) </w:t>
              <w:br w:type="textWrapping"/>
              <w:t xml:space="preserve">z tyłu pojazdu. Kamera powinna być przystosowana do pracy w każdych warunkach atmosferycznych mogących wystąpić na terenie Polski zamontowaną w sposób minimalizujący możliwość uszkodzeń mechanicznych. Obraz z kamery wyświetlany na monitorze minimum 5" w kabinie kierowcy. Kamera włączająca się automatycznie podczas włączenia biegu wstecznego; dodatkowo musi istnieć możliwość włączenia kamery przez kierowcę w dowolnym momencie podczas postoju pojazdu.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wyposażony w tabliczkę informacyjną na temat: wysokości, długości, szerokości i masy samochodu umiejscowioną w widocznym miejscu dla kierowcy.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dostarczony z zestawem narzędzi przewidzianych przez producenta podwozia.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Dodatkowo wyposażyć w: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kliny pod koła – min. 2 sztuki,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linkę statyczną o długości 50 m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zbijak do szyb z nożem do cięcia pasów bezpieczeństwa,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CE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px0yv8e8u6y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ZABUDOWA POŻARNICZA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0">
            <w:pPr>
              <w:numPr>
                <w:ilvl w:val="0"/>
                <w:numId w:val="1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Zabudowa skrzyni ładunkowej „hard top” na całej jej długości w kolorze samochodu z możliwością łatwego dostępu do wnętrza przestrzeni ładunkowej przez klapy boczne i klapę tylną, klapy boczne otwierane do góry (wysokość krawędzi klapy po otwarciu nie mniej niż 180 cm od „ziemi”), klapy wyposażone w uchwyty z zamkiem na klucz umożliwiające ich łatwe otwarcie, klapy unoszone przy pomocy amortyzatorów gazowych, (nie dopuszcza się klap bocznych wykonanych ze szkła i materiałów przeźroczystych). Zabudowa wykonana z aluminium lub laminatu. Dach zabudowy na równej wysokości z dachem kabiny załogi (dopuszcza się zabudowę wyższą max 5 cm).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Przedział sprzętowy, ładunkowy, bagażowy winien być wyposażony w oświetlenie LED (barwy białej) włączane automatycznie po otwarciu przedziału. Podłoga wysuwana w całej przestrzeni hardtopu, wysuw min. 70 cm, konstrukcja podłogi oraz półki zapewniająca ładowność min. 150 kg, z możliwością zablokowania podłogi po wysunięciu, zabezpieczenie przed samowolnym wysunięciem oraz możliwością jej całkowitego wyjęcia. Przestrzeń ładunkowa do wysokości burt zabezpieczona powłoką natryskową o wzmocnionej odporności na ścieranie, udar co najmniej poniżej krawędzi burt dopuszcza się rozwiązania stosowane przez producenta pojazdu zabezpieczające powłokę podłogi i burt tworzywem sztucznym.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Dodatkowe oświetlenie manewrowe oświetlające otoczenie pojazdu (boki i tył) umożliwiające manewrowanie w nocy w trudno dostępnym terenie, włączane oddzielnym włącznikiem z kabiny załogi w zasięgu kierowcy pojazdu. Oświetlenie zamontowane na zabudowie pojazdu zabezpieczone przed mechanicznym uszkodzeniem.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zabudowy potwierdzony w świadectwie dopuszczenia (jeśli dotyczy).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Należy podać rodzaj zabudowy: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C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MOCOWANIE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SPRZĘTU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D">
            <w:pPr>
              <w:numPr>
                <w:ilvl w:val="0"/>
                <w:numId w:val="1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pojeździe należy przewidzieć miejsce oraz wykonać mocowania na sprzęt zgodnie z wymaganiami użytkownika. Mocowanie sprzętu należy uzgodnić z użytkownikiem. Sprzęt dostarczony z pojazdem fabrycznie nowy. Mocowanie sprzętu powinno być odporne/zabezpieczone przed siłami działającymi m.in. podczas awaryjnego hamowania.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2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SERWIS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E3">
            <w:pPr>
              <w:numPr>
                <w:ilvl w:val="0"/>
                <w:numId w:val="1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Czas reakcji serwisu max. 24 godz. Tzn. odbiór telefonu przez serwisanta, ustalenie awarii oraz ustalenie dalszej procedury postepowania (czy naprawa wymaga interwencji serwisu, czy też wykonawca sam usunie awarię).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Należy podać telefon kontaktowy do serwisu: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Minimum dwa punkty serwisowe podwozia i jeden zabudowy na terenie województwa śląskiego.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1F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Pozostałe warunki Zamawiającego: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1F3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Wypełnia Wykonawca: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Zamawiający wymaga objęcia pojazdu minimalnym okresem gwarancji: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Podwozie min 36 miesięcy</w:t>
            </w:r>
          </w:p>
          <w:p w:rsidR="00000000" w:rsidDel="00000000" w:rsidP="00000000" w:rsidRDefault="00000000" w:rsidRPr="00000000" w14:paraId="000001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Zabudowa pożarnicza min 36 miesięcy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Okres gwarancji ….. miesięcy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Wykonawca obowiązany jest do dostarczenia wraz z pojazdem:</w:t>
            </w:r>
          </w:p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dokumentacji niezbędnej do zarejestrowania pojazdu jako „samochód specjalny”, wynikającej z ustawy „Prawo o ruchu drogowym”.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Uwaga:</w:t>
            </w:r>
          </w:p>
          <w:p w:rsidR="00000000" w:rsidDel="00000000" w:rsidP="00000000" w:rsidRDefault="00000000" w:rsidRPr="00000000" w14:paraId="0000020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- Wykonawca ma obowiązek wypełnić ostatnią kolumnę „Wypełnia Wykonawca”,  </w:t>
            </w:r>
          </w:p>
          <w:p w:rsidR="00000000" w:rsidDel="00000000" w:rsidP="00000000" w:rsidRDefault="00000000" w:rsidRPr="00000000" w14:paraId="0000020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- W miejscach zaznaczonych przez Zamawiającego podać wymagane dane, w pozostałych wystarczające będzie wskazanie, czy zaoferowany pojazd spełnia wymagania.</w:t>
            </w:r>
          </w:p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- W przypadku, gdy Wykonawca nie zaznaczy żadnej opcji (spełnia/nie spełnia) Zamawiający przyjmie, że oferowane wyposażenie spełni wymagania OPZ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Oświadczam/y, że wszystkie informacje podane w niniejszym dokumencie są aktualne i zgodne z prawdą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708" w:footer="1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-184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Podpis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10040303</wp:posOffset>
              </wp:positionH>
              <wp:positionV relativeFrom="paragraph">
                <wp:posOffset>-93026</wp:posOffset>
              </wp:positionV>
              <wp:extent cx="202565" cy="14859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49480" y="3710468"/>
                        <a:ext cx="193040" cy="139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10040303</wp:posOffset>
              </wp:positionH>
              <wp:positionV relativeFrom="paragraph">
                <wp:posOffset>-93026</wp:posOffset>
              </wp:positionV>
              <wp:extent cx="202565" cy="14859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6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MT.2370.14.2025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Załącznik nr </w:t>
    </w:r>
    <w:r w:rsidDel="00000000" w:rsidR="00000000" w:rsidRPr="00000000">
      <w:rPr>
        <w:sz w:val="24"/>
        <w:szCs w:val="24"/>
        <w:rtl w:val="0"/>
      </w:rPr>
      <w:t xml:space="preserve">2a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spacing w:val="-1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numPr>
        <w:ilvl w:val="4"/>
        <w:numId w:val="1"/>
      </w:numPr>
      <w:shd w:color="auto" w:fill="ffffff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Wingdings 2" w:hAnsi="Wingdings 2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20"/>
      <w:effect w:val="none"/>
      <w:vertAlign w:val="superscript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strony">
    <w:name w:val="Numer strony"/>
    <w:basedOn w:val="Domyślnaczcionkaakapitu1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strike w:val="0"/>
      <w:dstrike w:val="0"/>
      <w:color w:val="cc000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line="1" w:lineRule="atLeast"/>
      <w:ind w:left="92" w:right="0" w:leftChars="-1" w:rightChars="0" w:hanging="92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Podtytuł">
    <w:name w:val="Podtytuł"/>
    <w:basedOn w:val="Normalny"/>
    <w:next w:val="Tekstpodstawowy"/>
    <w:autoRedefine w:val="0"/>
    <w:hidden w:val="0"/>
    <w:qFormat w:val="0"/>
    <w:pPr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Akapitzlistą,Numerowanie,ListParagraph,AkapitzlistąBS,Kolorowalista—akcent11,ListParagraph1,T_SZ_ListParagraph">
    <w:name w:val="Akapit z listą,Numerowanie,List Paragraph,Akapit z listą BS,Kolorowa lista — akcent 11,List Paragraph1,T_SZ_List Paragraph"/>
    <w:basedOn w:val="Normalny"/>
    <w:next w:val="Akapitzlistą,Numerowanie,ListParagraph,AkapitzlistąBS,Kolorowalista—akcent11,ListParagraph1,T_SZ_ListParagraph"/>
    <w:autoRedefine w:val="0"/>
    <w:hidden w:val="0"/>
    <w:qFormat w:val="0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und"/>
    </w:rPr>
  </w:style>
  <w:style w:type="paragraph" w:styleId="zawartotabeli">
    <w:name w:val="zawartotabeli"/>
    <w:basedOn w:val="Normalny"/>
    <w:next w:val="zawartotabeli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Zawartośćramki">
    <w:name w:val="Zawartość ramki"/>
    <w:basedOn w:val="Normalny"/>
    <w:next w:val="Zawartośćramki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AkapitzlistąZnak,NumerowanieZnak,ListParagraphZnak,AkapitzlistąBSZnak,Kolorowalista—akcent11Znak,ListParagraph1Znak,T_SZ_ListParagraphZnak">
    <w:name w:val="Akapit z listą Znak,Numerowanie Znak,List Paragraph Znak,Akapit z listą BS Znak,Kolorowa lista — akcent 11 Znak,List Paragraph1 Znak,T_SZ_List Paragraph Znak"/>
    <w:next w:val="AkapitzlistąZnak,NumerowanieZnak,ListParagraphZnak,AkapitzlistąBSZnak,Kolorowalista—akcent11Znak,ListParagraph1Znak,T_SZ_ListParagraphZnak"/>
    <w:autoRedefine w:val="0"/>
    <w:hidden w:val="0"/>
    <w:qFormat w:val="0"/>
    <w:rPr>
      <w:rFonts w:ascii="Liberation Serif" w:cs="Mangal" w:eastAsia="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6.0" w:type="dxa"/>
        <w:bottom w:w="0.0" w:type="dxa"/>
        <w:right w:w="9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AEnlk0ZegT92NNtlbQ7FYRGklQ==">CgMxLjAaJQoBMBIgCh4IB0IaCg9UaW1lcyBOZXcgUm9tYW4SB0d1bmdzdWgyDmguejU2M2VvOWp3ZmJsMg5oLnB4MHl2OGU4dTZ5czgAciExa0tlUWNkdUtEYUhWVDBEa1hISUNsMnpDUkNPb2paT0o=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2025-08-22T12:42:00Z</dcterms:created>
  <dc:creator>kgargas</dc:creator>
</cp:coreProperties>
</file>