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E6EBF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E6EBF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E6EBF" w:rsidRDefault="00E736AC" w:rsidP="00736B1C">
      <w:pPr>
        <w:rPr>
          <w:rFonts w:asciiTheme="minorHAnsi" w:eastAsia="Calibri" w:hAnsiTheme="minorHAnsi" w:cstheme="minorHAnsi"/>
          <w:sz w:val="20"/>
          <w:lang w:eastAsia="en-US"/>
        </w:rPr>
      </w:pPr>
      <w:r w:rsidRPr="007E6EBF">
        <w:rPr>
          <w:rFonts w:asciiTheme="minorHAnsi" w:eastAsia="Calibri" w:hAnsiTheme="minorHAnsi" w:cstheme="minorHAnsi"/>
          <w:sz w:val="20"/>
          <w:lang w:eastAsia="en-US"/>
        </w:rPr>
        <w:t>K/292-4</w:t>
      </w:r>
      <w:r w:rsidR="005A05FF" w:rsidRPr="007E6EBF">
        <w:rPr>
          <w:rFonts w:asciiTheme="minorHAnsi" w:eastAsia="Calibri" w:hAnsiTheme="minorHAnsi" w:cstheme="minorHAnsi"/>
          <w:sz w:val="20"/>
          <w:lang w:eastAsia="en-US"/>
        </w:rPr>
        <w:t>-</w:t>
      </w:r>
      <w:r w:rsidR="007E6EBF">
        <w:rPr>
          <w:rFonts w:asciiTheme="minorHAnsi" w:eastAsia="Calibri" w:hAnsiTheme="minorHAnsi" w:cstheme="minorHAnsi"/>
          <w:sz w:val="20"/>
          <w:lang w:eastAsia="en-US"/>
        </w:rPr>
        <w:t>464</w:t>
      </w:r>
      <w:r w:rsidR="001E1E80" w:rsidRPr="007E6EBF">
        <w:rPr>
          <w:rFonts w:asciiTheme="minorHAnsi" w:eastAsia="Calibri" w:hAnsiTheme="minorHAnsi" w:cstheme="minorHAnsi"/>
          <w:sz w:val="20"/>
          <w:lang w:eastAsia="en-US"/>
        </w:rPr>
        <w:t>/20</w:t>
      </w:r>
      <w:r w:rsidRPr="007E6EBF"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5A05FF" w:rsidRPr="007E6EBF" w:rsidRDefault="005A05FF" w:rsidP="00736B1C">
      <w:pPr>
        <w:pStyle w:val="Tekstpodstawowy"/>
        <w:widowControl/>
        <w:rPr>
          <w:rFonts w:asciiTheme="minorHAnsi" w:eastAsia="Calibri" w:hAnsiTheme="minorHAnsi" w:cstheme="minorHAnsi"/>
        </w:rPr>
      </w:pPr>
      <w:r w:rsidRPr="007E6EBF">
        <w:rPr>
          <w:rFonts w:asciiTheme="minorHAnsi" w:eastAsia="Calibri" w:hAnsiTheme="minorHAnsi" w:cstheme="minorHAnsi"/>
        </w:rPr>
        <w:t xml:space="preserve">Poznań, </w:t>
      </w:r>
      <w:r w:rsidR="00096EE1" w:rsidRPr="007E6EBF">
        <w:rPr>
          <w:rFonts w:asciiTheme="minorHAnsi" w:eastAsia="Calibri" w:hAnsiTheme="minorHAnsi" w:cstheme="minorHAnsi"/>
        </w:rPr>
        <w:t>1</w:t>
      </w:r>
      <w:r w:rsidR="007E6EBF">
        <w:rPr>
          <w:rFonts w:asciiTheme="minorHAnsi" w:eastAsia="Calibri" w:hAnsiTheme="minorHAnsi" w:cstheme="minorHAnsi"/>
        </w:rPr>
        <w:t>7</w:t>
      </w:r>
      <w:r w:rsidRPr="007E6EBF">
        <w:rPr>
          <w:rFonts w:asciiTheme="minorHAnsi" w:eastAsia="Calibri" w:hAnsiTheme="minorHAnsi" w:cstheme="minorHAnsi"/>
        </w:rPr>
        <w:t>.</w:t>
      </w:r>
      <w:r w:rsidR="00F6186D" w:rsidRPr="007E6EBF">
        <w:rPr>
          <w:rFonts w:asciiTheme="minorHAnsi" w:eastAsia="Calibri" w:hAnsiTheme="minorHAnsi" w:cstheme="minorHAnsi"/>
        </w:rPr>
        <w:t>04</w:t>
      </w:r>
      <w:r w:rsidR="001E1E80" w:rsidRPr="007E6EBF">
        <w:rPr>
          <w:rFonts w:asciiTheme="minorHAnsi" w:eastAsia="Calibri" w:hAnsiTheme="minorHAnsi" w:cstheme="minorHAnsi"/>
        </w:rPr>
        <w:t>.2023</w:t>
      </w:r>
      <w:r w:rsidRPr="007E6EBF">
        <w:rPr>
          <w:rFonts w:asciiTheme="minorHAnsi" w:eastAsia="Calibri" w:hAnsiTheme="minorHAnsi" w:cstheme="minorHAnsi"/>
        </w:rPr>
        <w:t xml:space="preserve"> r.</w:t>
      </w:r>
    </w:p>
    <w:p w:rsidR="005A05FF" w:rsidRPr="007E6EBF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E6EBF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E6EBF" w:rsidRDefault="005A05FF" w:rsidP="00736B1C">
      <w:pPr>
        <w:jc w:val="center"/>
        <w:rPr>
          <w:rFonts w:asciiTheme="minorHAnsi" w:eastAsia="Calibri" w:hAnsiTheme="minorHAnsi" w:cstheme="minorHAnsi"/>
          <w:sz w:val="20"/>
        </w:rPr>
      </w:pPr>
      <w:r w:rsidRPr="007E6EBF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7E6EBF" w:rsidRDefault="005A05FF" w:rsidP="00780C30">
      <w:pPr>
        <w:jc w:val="both"/>
        <w:rPr>
          <w:rFonts w:asciiTheme="minorHAnsi" w:eastAsia="Calibri" w:hAnsiTheme="minorHAnsi" w:cstheme="minorHAnsi"/>
          <w:sz w:val="20"/>
        </w:rPr>
      </w:pPr>
    </w:p>
    <w:p w:rsidR="005A05FF" w:rsidRPr="007E6EBF" w:rsidRDefault="005A05FF" w:rsidP="00F6186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proofErr w:type="spellStart"/>
      <w:r w:rsidRPr="007E6EBF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7E6EBF">
        <w:rPr>
          <w:rFonts w:asciiTheme="minorHAnsi" w:eastAsia="Calibri" w:hAnsiTheme="minorHAnsi" w:cstheme="minorHAnsi"/>
          <w:b/>
          <w:sz w:val="20"/>
        </w:rPr>
        <w:t>:</w:t>
      </w:r>
      <w:r w:rsidRPr="007E6EBF">
        <w:rPr>
          <w:rFonts w:asciiTheme="minorHAnsi" w:hAnsiTheme="minorHAnsi" w:cstheme="minorHAnsi"/>
          <w:b/>
          <w:sz w:val="20"/>
        </w:rPr>
        <w:t xml:space="preserve"> </w:t>
      </w:r>
      <w:r w:rsidR="00F6186D" w:rsidRPr="007E6EBF">
        <w:rPr>
          <w:rFonts w:asciiTheme="minorHAnsi" w:hAnsiTheme="minorHAnsi" w:cstheme="minorHAnsi"/>
          <w:b/>
          <w:sz w:val="20"/>
        </w:rPr>
        <w:t>Usługa utrzymania czystości pomieszczeń w wybranych obiektach Uniwersytetu Ekonomicznego                               w Poznaniu (ZP/010/23)</w:t>
      </w:r>
      <w:r w:rsidR="00F6186D" w:rsidRPr="007E6EBF">
        <w:rPr>
          <w:rFonts w:asciiTheme="minorHAnsi" w:hAnsiTheme="minorHAnsi" w:cstheme="minorHAnsi"/>
          <w:sz w:val="20"/>
        </w:rPr>
        <w:t xml:space="preserve"> </w:t>
      </w:r>
      <w:r w:rsidRPr="007E6EBF">
        <w:rPr>
          <w:rFonts w:asciiTheme="minorHAnsi" w:eastAsia="Calibri" w:hAnsiTheme="minorHAnsi" w:cstheme="minorHAnsi"/>
          <w:sz w:val="20"/>
        </w:rPr>
        <w:t xml:space="preserve">prowadzonym </w:t>
      </w:r>
      <w:r w:rsidR="00F6186D" w:rsidRPr="007E6EBF">
        <w:rPr>
          <w:rFonts w:asciiTheme="minorHAnsi" w:eastAsia="Calibri" w:hAnsiTheme="minorHAnsi" w:cstheme="minorHAnsi"/>
          <w:sz w:val="20"/>
        </w:rPr>
        <w:t>jako przetarg nieograniczony wpłynęły pytania</w:t>
      </w:r>
      <w:r w:rsidRPr="007E6EBF">
        <w:rPr>
          <w:rFonts w:asciiTheme="minorHAnsi" w:eastAsia="Calibri" w:hAnsiTheme="minorHAnsi" w:cstheme="minorHAnsi"/>
          <w:sz w:val="20"/>
        </w:rPr>
        <w:t xml:space="preserve"> na które niniejszym Zamawiający odpowiada:</w:t>
      </w:r>
      <w:r w:rsidRPr="007E6EBF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5A05FF" w:rsidRPr="007E6EBF" w:rsidRDefault="005A05FF" w:rsidP="00736B1C">
      <w:pPr>
        <w:ind w:left="-142"/>
        <w:rPr>
          <w:rFonts w:asciiTheme="minorHAnsi" w:eastAsia="Calibri" w:hAnsiTheme="minorHAnsi" w:cstheme="minorHAnsi"/>
          <w:sz w:val="20"/>
          <w:lang w:eastAsia="en-US"/>
        </w:rPr>
      </w:pPr>
    </w:p>
    <w:p w:rsidR="001E1E80" w:rsidRPr="007E6EBF" w:rsidRDefault="005A05FF" w:rsidP="0050531D">
      <w:pPr>
        <w:ind w:left="-142"/>
        <w:contextualSpacing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 xml:space="preserve">    </w:t>
      </w:r>
      <w:r w:rsidR="0050531D" w:rsidRPr="007E6EBF">
        <w:rPr>
          <w:rFonts w:asciiTheme="minorHAnsi" w:hAnsiTheme="minorHAnsi" w:cstheme="minorHAnsi"/>
          <w:b/>
          <w:sz w:val="20"/>
        </w:rPr>
        <w:t>Pytanie nr 1: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„Zamawiający w SIWZ dopuszcza możliwość udziału w postepowaniu podmiotów działających w ramach konsorcjum. Zważywszy na fakt, iż: 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a) obserwowaną na rynku praktyką jest sytuacja, w której o udzielenie zamówienia ubiegają się podmioty będące spółkami kapitałowymi, działające w ramach konsorcjum, a następnie – już na etapie świadczenia usługi - faktury wystawiane są przez kilkanaście spółek cywilnych założonych przez konsorcjantów, 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b) powyższe może budzić wątpliwości co do zgodności takiej praktyki z przepisami ustawy z dnia 11.09.2019 r.. – Prawo zamówień publicznych oraz ustawy z dnia 11.03.2004 r. o podatku od towarów i usług (a zwłaszcza z art. 113 ust. 1 i 9 dotyczącym zwolnień podmiotowych, art. 106a – 106q dotyczącym zasad wystawiania faktur oraz art. 88 dotyczącym braku prawa do odliczenia VAT) co potwierdzają kontrole podatkowe prowadzone w firmach świadczących usługi outsourcingowe, Zwracamy się zwracamy się z uprzejmą prośbą o udzielenie informacji, czy Zamawiający po udzieleniu zamówienia dopuszcza możliwość wystawiania faktur przez inny podmiot (de facto: przez innego podatnika VAT), niż ubiegający się o udzielenie zamówienia członkowie konsorcjum.” 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Nie. 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Zamawiający nie dopuszcza możliwość wystawiania faktur przez inny podmiot niż ubiegający się o udzielenie zamówienia.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2: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„Zwracamy się z prośbą o modyfikację wzoru umowy, poprzez zmniejszenie wygórowanych kar umownych o 50%. W procedurze udzielania i realizacji zamówień publicznych to zamawiający jest w pozycji uprzywilejowanej względem wykonawców, umożliwiającej mu narzucanie warunków dotyczących realizacji zamówienia, jednak powinien on tak ukształtować treść umowy aby realizacja zamówienia w ogóle była możliwa. Zatem zastrzeganie kar umownych nie powinno być celem samym w sobie, ale środkiem dyscyplinującym wykonawcę. Wielokrotnie wskazywała na to Krajowa Izba Odwoławcza, m.in. w wyroku z dnia 5 marca 2014 r., sygn. akt KIO 283/14. Zamawiający próbuje wykorzystać swoją pozycję dominującą w przetargu i wbrew zasadom współżycia społecznego, wprowadzić do umowy rażąco wygórowaną karę umowną, która z uwagi na swą konstrukcję, może mieć zastosowanie zarówno w przypadku drobnego uchybienia, nieskutkującego powstaniem jakiejkolwiek szkody po stronie Zamawiającego, jak i w przypadku niewykonania zobowiązania w znacznej części. Kara umowna winna zostać opisana w sposób zróżnicowany, w zależności od rangi, skutków i okresu trwania uchybienia, jak i wpływu uchybień na funkcjonowanie Zamawiającego. Nie można również zapominać, że podstawową funkcją kary umownej jest naprawienie szkody (zryczałtowane odszkodowanie), a zatem stawka kary umownej nie powinna być ustalona abstrakcyjnie, lecz z uwzględnieniem przewidywanej szkody, jaka może powstać po stronie Zamawiającego. Jednakże postanowienie projektu umowy nie zostało oparte na powyższych założeniach, stąd wniosek o jego zmianę. Zaproponowane przez wykonawcę zmiany poprzez obniżenie wysokości kar umownych, zróżnicowanie ich wysokości w stosunku o rangi, skutku i okresu trwania uchybienia i jego wpływu na funkcjonowanie zamawiającego ma z jednej strony zapewnić, iż w dalszym ciągu kary umowne będą spełniały funkcję represyjną, z drugiej zaś, że zaczną spełniać funkcję odszkodowawczą, a nie „zarobkową”. 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Nie 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Zamawiający nie wyraża zgody na zmniejszenie kar umownych.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3: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„Zmawiający określił w SIWZ wymóg zatrudnienia pracowników wykonujących czynności porządkowe lub czynności sprzątania na umowę o pracę. Wnosimy o wyrażenie zgody na zatrudnienie pracowników na umowę zlecenie wyłącznie na zastępstwa urlopowo- chorobowe. Konieczność zachowania wymogu zatrudnienia wyłącznie na umowę o pracę w sytuacjach losowych, zdarzeniach niemożliwych do przewidzenia jest nierealne. Wykonawca nie jest w stanie przewidzieć ile osób będzie w danym okresie czasu np. na zwolnieniu lekarskim. Zatrudnienie na umowę o pracę wymaga chociażby dostarczenia badań lekarskich, co w sytuacjach nagłych jest nierealne i wymaga dodatkowego czasu. W związku z powyższym wnosimy jak na wstępie.”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Nie 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Zamawiający nie wyraża zgody na zawieranie umów zlecenie</w:t>
      </w:r>
      <w:r w:rsidR="007E6EBF">
        <w:rPr>
          <w:rFonts w:asciiTheme="minorHAnsi" w:hAnsiTheme="minorHAnsi" w:cstheme="minorHAnsi"/>
          <w:sz w:val="20"/>
        </w:rPr>
        <w:t>.</w:t>
      </w:r>
    </w:p>
    <w:p w:rsidR="0050531D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4: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„Czy Zamawiający zamierza ograniczyć powierzchnie sprzątania w trakcie trwania umowy?”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Nie.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Na chwilę obecną Zamawiający nie przewiduje ograniczenia powierzchni sprzątania w okresie trwania umowy.</w:t>
      </w:r>
    </w:p>
    <w:p w:rsidR="0050531D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5:</w:t>
      </w:r>
    </w:p>
    <w:p w:rsidR="0050531D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„Jeśli zamawiający zamierza ograniczyć powierzchnię, prosimy o wyrażenie zgody na ograniczenie w tym czasie ilości osób/etatów świadczących usługę adekwatnie do ograniczonej powierzchni.” 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Nie.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Na chwilę obecną Zamawiający nie przewiduje ograniczenia powierzchni sprzątania w okresie trwania umowy.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6:</w:t>
      </w:r>
    </w:p>
    <w:p w:rsidR="0050531D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Czy Zamawiający przewiduje możliwość rozwiązania umowy w przypadku braku porozumienia co do waloryzacji? 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Tak na zasadach ogólnych przewidzianych w projektowanych postanowieniach umowy.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7:</w:t>
      </w:r>
    </w:p>
    <w:p w:rsid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„Czy Zamawiający zapewnia środek do dezynfekcji rąk w przypadku zagrożenia epidemicznego albo wprowadzonego stanu epidemii?</w:t>
      </w:r>
      <w:r w:rsidR="007E6EBF" w:rsidRPr="007E6EBF">
        <w:rPr>
          <w:rFonts w:asciiTheme="minorHAnsi" w:hAnsiTheme="minorHAnsi" w:cstheme="minorHAnsi"/>
          <w:sz w:val="20"/>
        </w:rPr>
        <w:t>”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50531D" w:rsidP="007E6EBF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 </w:t>
      </w:r>
      <w:r w:rsidR="007E6EBF"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D</w:t>
      </w:r>
      <w:r w:rsidR="0050531D" w:rsidRPr="007E6EBF">
        <w:rPr>
          <w:rFonts w:asciiTheme="minorHAnsi" w:hAnsiTheme="minorHAnsi" w:cstheme="minorHAnsi"/>
          <w:sz w:val="20"/>
        </w:rPr>
        <w:t>ostarczenie środków dezynfekcyjnych leży po stronie Wykonawcy.</w:t>
      </w:r>
    </w:p>
    <w:p w:rsid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C92C3E" w:rsidRPr="007E6EBF" w:rsidRDefault="00C92C3E" w:rsidP="0050531D">
      <w:pPr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7E6EBF" w:rsidRDefault="007E6EBF" w:rsidP="007E6EBF">
      <w:pPr>
        <w:jc w:val="both"/>
        <w:rPr>
          <w:rFonts w:asciiTheme="minorHAnsi" w:hAnsiTheme="minorHAnsi" w:cstheme="minorHAnsi"/>
          <w:b/>
          <w:sz w:val="20"/>
        </w:rPr>
      </w:pPr>
    </w:p>
    <w:p w:rsidR="007E6EBF" w:rsidRPr="007E6EBF" w:rsidRDefault="007E6EBF" w:rsidP="007E6EBF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lastRenderedPageBreak/>
        <w:t>Pytanie nr 8:</w:t>
      </w:r>
    </w:p>
    <w:p w:rsidR="0050531D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„</w:t>
      </w:r>
      <w:r w:rsidR="0050531D" w:rsidRPr="007E6EBF">
        <w:rPr>
          <w:rFonts w:asciiTheme="minorHAnsi" w:hAnsiTheme="minorHAnsi" w:cstheme="minorHAnsi"/>
          <w:sz w:val="20"/>
        </w:rPr>
        <w:t>Proszę o podanie ilości pracowników dydaktycznych oraz studentów dla zadania III oraz IV</w:t>
      </w:r>
      <w:r w:rsidRPr="007E6EBF">
        <w:rPr>
          <w:rFonts w:asciiTheme="minorHAnsi" w:hAnsiTheme="minorHAnsi" w:cstheme="minorHAnsi"/>
          <w:sz w:val="20"/>
        </w:rPr>
        <w:t>”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Odpowiedź: na dzień 30.03 br. na Uczelni zatrudnionych jest 480 pracowników dydaktycznych, natomiast wg danych z dnia 31.12 2022 roku, uczyło się na naszej Uczelni 7 385 osób. Podanie dokładniej liczby w zakresie części zadań jest niemożliwe ze względu na przemieszczanie się dydaktyków oraz studentów na wykłady i zajęcia po wszystkich budynkach Uczelni.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7E6EBF" w:rsidP="007E6EBF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9:</w:t>
      </w:r>
    </w:p>
    <w:p w:rsid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„</w:t>
      </w:r>
      <w:r w:rsidR="0050531D" w:rsidRPr="007E6EBF">
        <w:rPr>
          <w:rFonts w:asciiTheme="minorHAnsi" w:hAnsiTheme="minorHAnsi" w:cstheme="minorHAnsi"/>
          <w:sz w:val="20"/>
        </w:rPr>
        <w:t>Czy podana powierzchna przeszkleń, okien jest jednostronna czy dwustronna?</w:t>
      </w:r>
      <w:r w:rsidRPr="007E6EBF">
        <w:rPr>
          <w:rFonts w:asciiTheme="minorHAnsi" w:hAnsiTheme="minorHAnsi" w:cstheme="minorHAnsi"/>
          <w:sz w:val="20"/>
        </w:rPr>
        <w:t>”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 </w:t>
      </w:r>
      <w:r w:rsidR="007E6EBF"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P</w:t>
      </w:r>
      <w:r w:rsidR="0050531D" w:rsidRPr="007E6EBF">
        <w:rPr>
          <w:rFonts w:asciiTheme="minorHAnsi" w:hAnsiTheme="minorHAnsi" w:cstheme="minorHAnsi"/>
          <w:sz w:val="20"/>
        </w:rPr>
        <w:t>odana powierzchnia dotyczy wariantu dwustronnego okien.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7E6EBF" w:rsidP="007E6EBF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10:</w:t>
      </w:r>
    </w:p>
    <w:p w:rsid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„</w:t>
      </w:r>
      <w:r w:rsidR="0050531D" w:rsidRPr="007E6EBF">
        <w:rPr>
          <w:rFonts w:asciiTheme="minorHAnsi" w:hAnsiTheme="minorHAnsi" w:cstheme="minorHAnsi"/>
          <w:sz w:val="20"/>
        </w:rPr>
        <w:t xml:space="preserve"> Czy w okresie letnim prowadzone są zajęcia dydaktyczne, zjazdy, jeśli tak, dla jakiej ilości słuchaczy oraz ile dni w miesiącu letnim?</w:t>
      </w:r>
      <w:r w:rsidRPr="007E6EBF">
        <w:rPr>
          <w:rFonts w:asciiTheme="minorHAnsi" w:hAnsiTheme="minorHAnsi" w:cstheme="minorHAnsi"/>
          <w:sz w:val="20"/>
        </w:rPr>
        <w:t>”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 </w:t>
      </w:r>
      <w:r w:rsidR="007E6EBF"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W</w:t>
      </w:r>
      <w:r w:rsidR="0050531D" w:rsidRPr="007E6EBF">
        <w:rPr>
          <w:rFonts w:asciiTheme="minorHAnsi" w:hAnsiTheme="minorHAnsi" w:cstheme="minorHAnsi"/>
          <w:sz w:val="20"/>
        </w:rPr>
        <w:t xml:space="preserve"> okresie letnim zajęcia się nie odbywają. Sprzątanie </w:t>
      </w:r>
      <w:proofErr w:type="spellStart"/>
      <w:r w:rsidR="0050531D" w:rsidRPr="007E6EBF">
        <w:rPr>
          <w:rFonts w:asciiTheme="minorHAnsi" w:hAnsiTheme="minorHAnsi" w:cstheme="minorHAnsi"/>
          <w:sz w:val="20"/>
        </w:rPr>
        <w:t>sal</w:t>
      </w:r>
      <w:proofErr w:type="spellEnd"/>
      <w:r w:rsidR="0050531D" w:rsidRPr="007E6EBF">
        <w:rPr>
          <w:rFonts w:asciiTheme="minorHAnsi" w:hAnsiTheme="minorHAnsi" w:cstheme="minorHAnsi"/>
          <w:sz w:val="20"/>
        </w:rPr>
        <w:t xml:space="preserve"> jest wyznaczone z częstotliwością sporadyczną ponieważ organizowane są np. obrony, egzaminy poprawkowe.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7E6EBF" w:rsidP="007E6EBF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11: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Czy w przedziale czasowym – okres wakacyjny - 01.06.2024 roku do 30.09.2024 r. sprzątanie również musi odbywać się od godziny 18.00?; czy możliwe jest sprzątanie od rana, jeśli tak, to jakich stref?</w:t>
      </w: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</w:p>
    <w:p w:rsidR="007E6EBF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50531D" w:rsidRPr="007E6EBF" w:rsidRDefault="007E6EBF" w:rsidP="0050531D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Zamawiający pozostawia</w:t>
      </w:r>
      <w:r w:rsidR="0050531D" w:rsidRPr="007E6EBF">
        <w:rPr>
          <w:rFonts w:asciiTheme="minorHAnsi" w:hAnsiTheme="minorHAnsi" w:cstheme="minorHAnsi"/>
          <w:sz w:val="20"/>
        </w:rPr>
        <w:t xml:space="preserve"> zunifikowaną opcję dostępu do sprzątanych powierzchni, zatem godziny pozostają bez zmian i są takie same w całym okresie umowy.</w:t>
      </w:r>
    </w:p>
    <w:p w:rsidR="0050531D" w:rsidRPr="007E6EBF" w:rsidRDefault="0050531D" w:rsidP="0050531D">
      <w:pPr>
        <w:jc w:val="both"/>
        <w:rPr>
          <w:rFonts w:asciiTheme="minorHAnsi" w:hAnsiTheme="minorHAnsi" w:cstheme="minorHAnsi"/>
          <w:sz w:val="20"/>
        </w:rPr>
      </w:pPr>
    </w:p>
    <w:p w:rsidR="00F6186D" w:rsidRPr="008356EB" w:rsidRDefault="00F6186D" w:rsidP="00F6186D">
      <w:pPr>
        <w:jc w:val="both"/>
        <w:rPr>
          <w:rFonts w:ascii="Calibri" w:eastAsia="Calibri" w:hAnsi="Calibri" w:cs="Calibri"/>
          <w:b/>
          <w:sz w:val="20"/>
        </w:rPr>
      </w:pPr>
    </w:p>
    <w:sectPr w:rsidR="00F6186D" w:rsidRPr="008356EB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3E" w:rsidRDefault="00C92C3E" w:rsidP="004D755B">
      <w:r>
        <w:separator/>
      </w:r>
    </w:p>
  </w:endnote>
  <w:endnote w:type="continuationSeparator" w:id="0">
    <w:p w:rsidR="00C92C3E" w:rsidRDefault="00C92C3E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C3E" w:rsidRPr="00E84ED8" w:rsidRDefault="00C92C3E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C92C3E" w:rsidRPr="00E84ED8" w:rsidRDefault="00C92C3E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C92C3E" w:rsidRPr="00E84ED8" w:rsidRDefault="00C92C3E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C92C3E" w:rsidRPr="00E84ED8" w:rsidRDefault="00C92C3E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C92C3E" w:rsidRPr="00E84ED8" w:rsidRDefault="00C92C3E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C92C3E" w:rsidRPr="00E84ED8" w:rsidRDefault="00C92C3E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C92C3E" w:rsidRPr="00E4433E" w:rsidRDefault="00C92C3E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C92C3E" w:rsidRDefault="00C92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3E" w:rsidRDefault="00C92C3E" w:rsidP="004D755B">
      <w:r>
        <w:separator/>
      </w:r>
    </w:p>
  </w:footnote>
  <w:footnote w:type="continuationSeparator" w:id="0">
    <w:p w:rsidR="00C92C3E" w:rsidRDefault="00C92C3E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C3E" w:rsidRDefault="00C92C3E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CF7C972" wp14:editId="48F80FFA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10"/>
  </w:num>
  <w:num w:numId="8">
    <w:abstractNumId w:val="4"/>
  </w:num>
  <w:num w:numId="9">
    <w:abstractNumId w:val="11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9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5"/>
  </w:num>
  <w:num w:numId="24">
    <w:abstractNumId w:val="12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96EE1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0531D"/>
    <w:rsid w:val="00523EBD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E3496"/>
    <w:rsid w:val="007E5803"/>
    <w:rsid w:val="007E6EBF"/>
    <w:rsid w:val="007F214E"/>
    <w:rsid w:val="00802BB3"/>
    <w:rsid w:val="008105F5"/>
    <w:rsid w:val="008175F9"/>
    <w:rsid w:val="00822B25"/>
    <w:rsid w:val="008245BD"/>
    <w:rsid w:val="008265C5"/>
    <w:rsid w:val="008356EB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27345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33FA0"/>
    <w:rsid w:val="00C57104"/>
    <w:rsid w:val="00C7547C"/>
    <w:rsid w:val="00C75665"/>
    <w:rsid w:val="00C92C3E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6186D"/>
    <w:rsid w:val="00F811EE"/>
    <w:rsid w:val="00F93EC5"/>
    <w:rsid w:val="00FA590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uiPriority w:val="99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5D2A-D271-43F7-B3E4-672992BE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F5401AB8</Template>
  <TotalTime>480</TotalTime>
  <Pages>3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53</cp:revision>
  <cp:lastPrinted>2023-04-17T07:04:00Z</cp:lastPrinted>
  <dcterms:created xsi:type="dcterms:W3CDTF">2021-03-11T10:42:00Z</dcterms:created>
  <dcterms:modified xsi:type="dcterms:W3CDTF">2023-04-17T07:06:00Z</dcterms:modified>
</cp:coreProperties>
</file>